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03"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656"/>
        <w:gridCol w:w="2897"/>
      </w:tblGrid>
      <w:tr w:rsidR="00A01B1C" w14:paraId="262A52E2" w14:textId="77777777" w:rsidTr="00FF72A2">
        <w:tc>
          <w:tcPr>
            <w:tcW w:w="6656" w:type="dxa"/>
          </w:tcPr>
          <w:p w14:paraId="1DDC8844" w14:textId="77777777" w:rsidR="00FF72A2" w:rsidRDefault="00FF72A2" w:rsidP="00A01B1C">
            <w:pPr>
              <w:pStyle w:val="Heading1"/>
              <w:outlineLvl w:val="0"/>
            </w:pPr>
          </w:p>
          <w:p w14:paraId="30646D26" w14:textId="77777777" w:rsidR="00A01B1C" w:rsidRDefault="00D767A2" w:rsidP="00A01B1C">
            <w:pPr>
              <w:pStyle w:val="Heading1"/>
              <w:outlineLvl w:val="0"/>
            </w:pPr>
            <w:r>
              <w:t xml:space="preserve">Dr. William Bensen Models of Care Initiative Award </w:t>
            </w:r>
            <w:r w:rsidR="00A01B1C" w:rsidRPr="0045170E">
              <w:t>Application</w:t>
            </w:r>
          </w:p>
        </w:tc>
        <w:tc>
          <w:tcPr>
            <w:tcW w:w="2897" w:type="dxa"/>
          </w:tcPr>
          <w:p w14:paraId="17BC197B" w14:textId="77777777" w:rsidR="00A01B1C" w:rsidRDefault="00FF72A2" w:rsidP="0097298E">
            <w:pPr>
              <w:pStyle w:val="Logo"/>
            </w:pPr>
            <w:r>
              <w:rPr>
                <w:noProof/>
              </w:rPr>
              <w:drawing>
                <wp:inline distT="0" distB="0" distL="0" distR="0" wp14:anchorId="12367B9D" wp14:editId="4F30F98C">
                  <wp:extent cx="1702435" cy="281940"/>
                  <wp:effectExtent l="0" t="0" r="0" b="3810"/>
                  <wp:docPr id="1073741825" name="officeArt object" descr="C:\Users\MAO\Desktop\logo.png"/>
                  <wp:cNvGraphicFramePr/>
                  <a:graphic xmlns:a="http://schemas.openxmlformats.org/drawingml/2006/main">
                    <a:graphicData uri="http://schemas.openxmlformats.org/drawingml/2006/picture">
                      <pic:pic xmlns:pic="http://schemas.openxmlformats.org/drawingml/2006/picture">
                        <pic:nvPicPr>
                          <pic:cNvPr id="1073741825" name="officeArt object" descr="C:\Users\MAO\Desktop\logo.png"/>
                          <pic:cNvPicPr/>
                        </pic:nvPicPr>
                        <pic:blipFill>
                          <a:blip r:embed="rId6">
                            <a:extLst/>
                          </a:blip>
                          <a:stretch>
                            <a:fillRect/>
                          </a:stretch>
                        </pic:blipFill>
                        <pic:spPr>
                          <a:xfrm>
                            <a:off x="0" y="0"/>
                            <a:ext cx="1702435" cy="281940"/>
                          </a:xfrm>
                          <a:prstGeom prst="rect">
                            <a:avLst/>
                          </a:prstGeom>
                          <a:ln w="12700" cap="flat">
                            <a:noFill/>
                            <a:miter lim="400000"/>
                          </a:ln>
                          <a:effectLst/>
                        </pic:spPr>
                      </pic:pic>
                    </a:graphicData>
                  </a:graphic>
                </wp:inline>
              </w:drawing>
            </w:r>
          </w:p>
        </w:tc>
      </w:tr>
    </w:tbl>
    <w:p w14:paraId="40BA81B7" w14:textId="77777777" w:rsidR="00D767A2" w:rsidRPr="00333E4A" w:rsidRDefault="00D767A2" w:rsidP="00D767A2">
      <w:pPr>
        <w:pStyle w:val="Heading2"/>
        <w:rPr>
          <w:rFonts w:cstheme="majorHAnsi"/>
          <w:sz w:val="24"/>
          <w:szCs w:val="24"/>
        </w:rPr>
      </w:pPr>
      <w:r w:rsidRPr="00333E4A">
        <w:rPr>
          <w:rFonts w:cstheme="majorHAnsi"/>
          <w:sz w:val="24"/>
          <w:szCs w:val="24"/>
        </w:rPr>
        <w:t>Purpose</w:t>
      </w:r>
    </w:p>
    <w:p w14:paraId="4E0F2C9C" w14:textId="77777777" w:rsidR="00FF72A2" w:rsidRPr="0044144A" w:rsidRDefault="00FF72A2" w:rsidP="00FF72A2">
      <w:pPr>
        <w:pStyle w:val="NormalWeb"/>
        <w:rPr>
          <w:rFonts w:asciiTheme="majorHAnsi" w:hAnsiTheme="majorHAnsi" w:cstheme="majorHAnsi"/>
          <w:b/>
          <w:color w:val="000000"/>
        </w:rPr>
      </w:pPr>
    </w:p>
    <w:p w14:paraId="372F426D" w14:textId="3DBEC6F7" w:rsidR="00FF72A2" w:rsidRDefault="00FF72A2" w:rsidP="00FF72A2">
      <w:pPr>
        <w:pStyle w:val="NormalWeb"/>
        <w:rPr>
          <w:rFonts w:asciiTheme="majorHAnsi" w:hAnsiTheme="majorHAnsi" w:cstheme="majorHAnsi"/>
          <w:color w:val="000000"/>
        </w:rPr>
      </w:pPr>
      <w:bookmarkStart w:id="0" w:name="_Hlk491117628"/>
      <w:r w:rsidRPr="0044144A">
        <w:rPr>
          <w:rFonts w:asciiTheme="majorHAnsi" w:hAnsiTheme="majorHAnsi" w:cstheme="majorHAnsi"/>
          <w:color w:val="000000"/>
        </w:rPr>
        <w:t>This initiative is undertaken by the ORA in memory of the late Dr. William Bensen. He was an exceptional rheumatologist who practiced in Hamilton, Ontario for nearly 40 years. He was a great advocate of team-based models of care in R</w:t>
      </w:r>
      <w:r w:rsidR="00D22D84" w:rsidRPr="0044144A">
        <w:rPr>
          <w:rFonts w:asciiTheme="majorHAnsi" w:hAnsiTheme="majorHAnsi" w:cstheme="majorHAnsi"/>
          <w:color w:val="000000"/>
        </w:rPr>
        <w:t xml:space="preserve">heumatology and </w:t>
      </w:r>
      <w:r w:rsidRPr="0044144A">
        <w:rPr>
          <w:rFonts w:asciiTheme="majorHAnsi" w:hAnsiTheme="majorHAnsi" w:cstheme="majorHAnsi"/>
          <w:color w:val="000000"/>
        </w:rPr>
        <w:t xml:space="preserve">worked with nursing staff to provide higher standard of care for his patients. His pioneering strategies and advocacy work will be remembered and promoted in this initiative. </w:t>
      </w:r>
    </w:p>
    <w:p w14:paraId="52B851D9" w14:textId="77777777" w:rsidR="00D95709" w:rsidRPr="0044144A" w:rsidRDefault="00D95709" w:rsidP="00FF72A2">
      <w:pPr>
        <w:pStyle w:val="NormalWeb"/>
        <w:rPr>
          <w:rFonts w:asciiTheme="majorHAnsi" w:hAnsiTheme="majorHAnsi" w:cstheme="majorHAnsi"/>
          <w:color w:val="000000"/>
        </w:rPr>
      </w:pPr>
    </w:p>
    <w:bookmarkEnd w:id="0"/>
    <w:p w14:paraId="2E51E46B" w14:textId="050F18C0" w:rsidR="005F7F72" w:rsidRPr="0044144A" w:rsidRDefault="005F7F72" w:rsidP="00333E4A">
      <w:pPr>
        <w:pStyle w:val="NormalWeb"/>
        <w:rPr>
          <w:rFonts w:asciiTheme="majorHAnsi" w:hAnsiTheme="majorHAnsi" w:cstheme="majorHAnsi"/>
          <w:color w:val="000000"/>
        </w:rPr>
      </w:pPr>
      <w:r w:rsidRPr="0044144A">
        <w:rPr>
          <w:rFonts w:asciiTheme="majorHAnsi" w:hAnsiTheme="majorHAnsi" w:cstheme="majorHAnsi"/>
          <w:color w:val="000000"/>
        </w:rPr>
        <w:t xml:space="preserve">The mission of this Awards program is to invest in advancing access to quality rheumatology care through novel team based models of care and innovative solutions. The goals of the Awards are </w:t>
      </w:r>
      <w:r w:rsidR="00D95709">
        <w:rPr>
          <w:rFonts w:asciiTheme="majorHAnsi" w:hAnsiTheme="majorHAnsi" w:cstheme="majorHAnsi"/>
          <w:color w:val="000000"/>
        </w:rPr>
        <w:t>1</w:t>
      </w:r>
      <w:r w:rsidRPr="0044144A">
        <w:rPr>
          <w:rFonts w:asciiTheme="majorHAnsi" w:hAnsiTheme="majorHAnsi" w:cstheme="majorHAnsi"/>
          <w:color w:val="000000"/>
        </w:rPr>
        <w:t xml:space="preserve">) to promote improved care of rheumatology patients through rheumatologist-led, team-based models of care within </w:t>
      </w:r>
      <w:bookmarkStart w:id="1" w:name="_Hlk491117639"/>
      <w:r w:rsidRPr="0044144A">
        <w:rPr>
          <w:rFonts w:asciiTheme="majorHAnsi" w:hAnsiTheme="majorHAnsi" w:cstheme="majorHAnsi"/>
          <w:color w:val="000000"/>
        </w:rPr>
        <w:t>Ontario</w:t>
      </w:r>
      <w:bookmarkEnd w:id="1"/>
      <w:r w:rsidRPr="0044144A">
        <w:rPr>
          <w:rFonts w:asciiTheme="majorHAnsi" w:hAnsiTheme="majorHAnsi" w:cstheme="majorHAnsi"/>
          <w:color w:val="000000"/>
        </w:rPr>
        <w:t xml:space="preserve">, 2) To encourage novel solutions developed by Ontario rheumatologists to improve access to rheumatology care, 3) To help direct health policy toward funding of team-based models of care. </w:t>
      </w:r>
    </w:p>
    <w:p w14:paraId="6515CD2F" w14:textId="77777777" w:rsidR="005F7F72" w:rsidRPr="0044144A" w:rsidRDefault="005F7F72" w:rsidP="00333E4A">
      <w:pPr>
        <w:pStyle w:val="NormalWeb"/>
        <w:rPr>
          <w:rFonts w:asciiTheme="majorHAnsi" w:hAnsiTheme="majorHAnsi" w:cstheme="majorHAnsi"/>
          <w:color w:val="000000"/>
        </w:rPr>
      </w:pPr>
    </w:p>
    <w:p w14:paraId="3E0AC43A" w14:textId="651D21CD" w:rsidR="005F7F72" w:rsidRPr="00333E4A" w:rsidRDefault="005F7F72" w:rsidP="005F7F72">
      <w:pPr>
        <w:pStyle w:val="Footer"/>
        <w:rPr>
          <w:rFonts w:asciiTheme="majorHAnsi" w:hAnsiTheme="majorHAnsi" w:cstheme="majorHAnsi"/>
          <w:sz w:val="24"/>
          <w:szCs w:val="24"/>
        </w:rPr>
      </w:pPr>
      <w:r w:rsidRPr="0044144A">
        <w:rPr>
          <w:rFonts w:asciiTheme="majorHAnsi" w:hAnsiTheme="majorHAnsi" w:cstheme="majorHAnsi"/>
          <w:color w:val="000000"/>
          <w:sz w:val="24"/>
          <w:szCs w:val="24"/>
        </w:rPr>
        <w:t xml:space="preserve">This initiative will provide grants for rheumatologist-led initiatives in the area of Models of Care, up to a maximum of $40,000. Proposals for projects with a 1-year term will be considered for review. </w:t>
      </w:r>
      <w:r w:rsidRPr="0044144A">
        <w:rPr>
          <w:rFonts w:asciiTheme="majorHAnsi" w:hAnsiTheme="majorHAnsi" w:cstheme="majorHAnsi"/>
          <w:sz w:val="24"/>
          <w:szCs w:val="24"/>
        </w:rPr>
        <w:t xml:space="preserve">An application for </w:t>
      </w:r>
      <w:bookmarkStart w:id="2" w:name="_Hlk492829148"/>
      <w:r w:rsidRPr="0044144A">
        <w:rPr>
          <w:rFonts w:asciiTheme="majorHAnsi" w:hAnsiTheme="majorHAnsi" w:cstheme="majorHAnsi"/>
          <w:sz w:val="24"/>
          <w:szCs w:val="24"/>
        </w:rPr>
        <w:t>a second year of funding (up to a maximum of $20,000) will be considered, based on merit</w:t>
      </w:r>
      <w:bookmarkEnd w:id="2"/>
      <w:r w:rsidRPr="0044144A">
        <w:rPr>
          <w:rFonts w:asciiTheme="majorHAnsi" w:hAnsiTheme="majorHAnsi" w:cstheme="majorHAnsi"/>
          <w:sz w:val="24"/>
          <w:szCs w:val="24"/>
        </w:rPr>
        <w:t xml:space="preserve"> and quality of the final report.  Each eligible physician will be allowed up to a maximum of two years of funding in total.</w:t>
      </w:r>
      <w:r w:rsidR="00D95709" w:rsidRPr="00D95709">
        <w:rPr>
          <w:rFonts w:asciiTheme="majorHAnsi" w:hAnsiTheme="majorHAnsi" w:cstheme="majorHAnsi"/>
          <w:sz w:val="24"/>
        </w:rPr>
        <w:t xml:space="preserve"> </w:t>
      </w:r>
      <w:r w:rsidR="00D95709" w:rsidRPr="0044144A">
        <w:rPr>
          <w:rFonts w:asciiTheme="majorHAnsi" w:hAnsiTheme="majorHAnsi" w:cstheme="majorHAnsi"/>
          <w:sz w:val="24"/>
        </w:rPr>
        <w:t>Up to two successful applicants will be selected each year.</w:t>
      </w:r>
    </w:p>
    <w:p w14:paraId="2B141CB3" w14:textId="1C0B1904" w:rsidR="0000341A" w:rsidRPr="0044144A" w:rsidRDefault="0000341A" w:rsidP="0000341A">
      <w:pPr>
        <w:pStyle w:val="NormalWeb"/>
        <w:rPr>
          <w:rFonts w:asciiTheme="majorHAnsi" w:hAnsiTheme="majorHAnsi" w:cstheme="majorHAnsi"/>
          <w:color w:val="000000"/>
        </w:rPr>
      </w:pPr>
    </w:p>
    <w:p w14:paraId="433D2600" w14:textId="4C6BC639" w:rsidR="005F7F72" w:rsidRPr="00333E4A" w:rsidRDefault="005F7F72" w:rsidP="00333E4A">
      <w:pPr>
        <w:rPr>
          <w:rFonts w:asciiTheme="majorHAnsi" w:hAnsiTheme="majorHAnsi" w:cstheme="majorHAnsi"/>
          <w:sz w:val="24"/>
        </w:rPr>
      </w:pPr>
      <w:r w:rsidRPr="0044144A">
        <w:rPr>
          <w:rFonts w:asciiTheme="majorHAnsi" w:hAnsiTheme="majorHAnsi" w:cstheme="majorHAnsi"/>
          <w:sz w:val="24"/>
        </w:rPr>
        <w:t xml:space="preserve">To be </w:t>
      </w:r>
      <w:r w:rsidRPr="00D95709">
        <w:rPr>
          <w:rFonts w:asciiTheme="majorHAnsi" w:hAnsiTheme="majorHAnsi" w:cstheme="majorHAnsi"/>
          <w:sz w:val="24"/>
        </w:rPr>
        <w:t xml:space="preserve">eligible </w:t>
      </w:r>
      <w:r w:rsidRPr="00333E4A">
        <w:rPr>
          <w:rFonts w:asciiTheme="majorHAnsi" w:hAnsiTheme="majorHAnsi" w:cstheme="majorHAnsi"/>
          <w:sz w:val="24"/>
        </w:rPr>
        <w:t xml:space="preserve">for the Bensen Awards, </w:t>
      </w:r>
      <w:r w:rsidR="00D95709">
        <w:rPr>
          <w:rFonts w:asciiTheme="majorHAnsi" w:hAnsiTheme="majorHAnsi" w:cstheme="majorHAnsi"/>
          <w:sz w:val="24"/>
        </w:rPr>
        <w:t>a</w:t>
      </w:r>
      <w:r w:rsidRPr="00333E4A">
        <w:rPr>
          <w:rFonts w:asciiTheme="majorHAnsi" w:hAnsiTheme="majorHAnsi" w:cstheme="majorHAnsi"/>
          <w:sz w:val="24"/>
        </w:rPr>
        <w:t xml:space="preserve">pplicants must be </w:t>
      </w:r>
      <w:r w:rsidRPr="00333E4A">
        <w:rPr>
          <w:rFonts w:asciiTheme="majorHAnsi" w:hAnsiTheme="majorHAnsi" w:cstheme="majorHAnsi"/>
          <w:color w:val="000000"/>
          <w:sz w:val="24"/>
        </w:rPr>
        <w:t xml:space="preserve">a member of the Ontario Rheumatology Association (excluding Board and Executive Members) AND are </w:t>
      </w:r>
      <w:r w:rsidRPr="00333E4A">
        <w:rPr>
          <w:rFonts w:asciiTheme="majorHAnsi" w:hAnsiTheme="majorHAnsi" w:cstheme="majorHAnsi"/>
          <w:sz w:val="24"/>
        </w:rPr>
        <w:t xml:space="preserve">community rheumatologists </w:t>
      </w:r>
      <w:r w:rsidR="00D95709">
        <w:rPr>
          <w:rFonts w:asciiTheme="majorHAnsi" w:hAnsiTheme="majorHAnsi" w:cstheme="majorHAnsi"/>
          <w:sz w:val="24"/>
        </w:rPr>
        <w:t>(s</w:t>
      </w:r>
      <w:r w:rsidRPr="00333E4A">
        <w:rPr>
          <w:rFonts w:asciiTheme="majorHAnsi" w:hAnsiTheme="majorHAnsi" w:cstheme="majorHAnsi"/>
          <w:sz w:val="24"/>
        </w:rPr>
        <w:t>pend</w:t>
      </w:r>
      <w:r w:rsidR="00D95709">
        <w:rPr>
          <w:rFonts w:asciiTheme="majorHAnsi" w:hAnsiTheme="majorHAnsi" w:cstheme="majorHAnsi"/>
          <w:sz w:val="24"/>
        </w:rPr>
        <w:t xml:space="preserve">ing </w:t>
      </w:r>
      <w:r w:rsidRPr="00333E4A">
        <w:rPr>
          <w:rFonts w:asciiTheme="majorHAnsi" w:hAnsiTheme="majorHAnsi" w:cstheme="majorHAnsi"/>
          <w:sz w:val="24"/>
        </w:rPr>
        <w:t>more than 80% of his/her time providing clinical care</w:t>
      </w:r>
      <w:r w:rsidR="00D95709">
        <w:rPr>
          <w:rFonts w:asciiTheme="majorHAnsi" w:hAnsiTheme="majorHAnsi" w:cstheme="majorHAnsi"/>
          <w:sz w:val="24"/>
        </w:rPr>
        <w:t>)</w:t>
      </w:r>
      <w:r w:rsidRPr="00333E4A">
        <w:rPr>
          <w:rFonts w:asciiTheme="majorHAnsi" w:hAnsiTheme="majorHAnsi" w:cstheme="majorHAnsi"/>
          <w:sz w:val="24"/>
        </w:rPr>
        <w:t xml:space="preserve"> </w:t>
      </w:r>
      <w:r w:rsidR="00D95709">
        <w:rPr>
          <w:rFonts w:asciiTheme="majorHAnsi" w:hAnsiTheme="majorHAnsi" w:cstheme="majorHAnsi"/>
          <w:sz w:val="24"/>
        </w:rPr>
        <w:t xml:space="preserve">who </w:t>
      </w:r>
      <w:r w:rsidRPr="00333E4A">
        <w:rPr>
          <w:rFonts w:asciiTheme="majorHAnsi" w:hAnsiTheme="majorHAnsi" w:cstheme="majorHAnsi"/>
          <w:sz w:val="24"/>
        </w:rPr>
        <w:t>practice outside of academic/hospital institutions.</w:t>
      </w:r>
    </w:p>
    <w:p w14:paraId="1B64FF85" w14:textId="77777777" w:rsidR="005F7F72" w:rsidRPr="0044144A" w:rsidRDefault="005F7F72" w:rsidP="005F7F72">
      <w:pPr>
        <w:rPr>
          <w:rFonts w:asciiTheme="majorHAnsi" w:hAnsiTheme="majorHAnsi" w:cstheme="majorHAnsi"/>
          <w:color w:val="000000"/>
          <w:sz w:val="24"/>
        </w:rPr>
      </w:pPr>
    </w:p>
    <w:p w14:paraId="157114DC" w14:textId="15C300A7" w:rsidR="005F7F72" w:rsidRPr="00333E4A" w:rsidRDefault="005F7F72" w:rsidP="005F7F72">
      <w:pPr>
        <w:rPr>
          <w:rFonts w:asciiTheme="majorHAnsi" w:hAnsiTheme="majorHAnsi" w:cstheme="majorHAnsi"/>
          <w:color w:val="000000"/>
          <w:sz w:val="24"/>
        </w:rPr>
      </w:pPr>
      <w:r w:rsidRPr="00333E4A">
        <w:rPr>
          <w:rFonts w:asciiTheme="majorHAnsi" w:hAnsiTheme="majorHAnsi" w:cstheme="majorHAnsi"/>
          <w:color w:val="000000"/>
          <w:sz w:val="24"/>
        </w:rPr>
        <w:t xml:space="preserve">Acceptable use of grant funds include: Implementation of a team-based models of care and funding for </w:t>
      </w:r>
      <w:r w:rsidR="00D95709">
        <w:rPr>
          <w:rFonts w:asciiTheme="majorHAnsi" w:hAnsiTheme="majorHAnsi" w:cstheme="majorHAnsi"/>
          <w:sz w:val="24"/>
        </w:rPr>
        <w:t>t</w:t>
      </w:r>
      <w:r w:rsidRPr="00333E4A">
        <w:rPr>
          <w:rFonts w:asciiTheme="majorHAnsi" w:hAnsiTheme="majorHAnsi" w:cstheme="majorHAnsi"/>
          <w:sz w:val="24"/>
        </w:rPr>
        <w:t xml:space="preserve">raining </w:t>
      </w:r>
      <w:r w:rsidRPr="0044144A">
        <w:rPr>
          <w:rFonts w:asciiTheme="majorHAnsi" w:hAnsiTheme="majorHAnsi" w:cstheme="majorHAnsi"/>
          <w:sz w:val="24"/>
        </w:rPr>
        <w:t>of</w:t>
      </w:r>
      <w:r w:rsidRPr="00333E4A">
        <w:rPr>
          <w:rFonts w:asciiTheme="majorHAnsi" w:hAnsiTheme="majorHAnsi" w:cstheme="majorHAnsi"/>
          <w:sz w:val="24"/>
        </w:rPr>
        <w:t xml:space="preserve"> Allied Health Professional (AHP)</w:t>
      </w:r>
      <w:r w:rsidRPr="0044144A">
        <w:rPr>
          <w:rFonts w:asciiTheme="majorHAnsi" w:hAnsiTheme="majorHAnsi" w:cstheme="majorHAnsi"/>
          <w:sz w:val="24"/>
        </w:rPr>
        <w:t xml:space="preserve"> including </w:t>
      </w:r>
      <w:r w:rsidRPr="00333E4A">
        <w:rPr>
          <w:rFonts w:asciiTheme="majorHAnsi" w:hAnsiTheme="majorHAnsi" w:cstheme="majorHAnsi"/>
          <w:color w:val="000000"/>
          <w:sz w:val="24"/>
        </w:rPr>
        <w:t>nurses, physiotherapists, occupational therapists as well as kinesiologists). Funding may not be used for salary support for either physician</w:t>
      </w:r>
      <w:r w:rsidR="00D95709">
        <w:rPr>
          <w:rFonts w:asciiTheme="majorHAnsi" w:hAnsiTheme="majorHAnsi" w:cstheme="majorHAnsi"/>
          <w:color w:val="000000"/>
          <w:sz w:val="24"/>
        </w:rPr>
        <w:t>/</w:t>
      </w:r>
      <w:r w:rsidRPr="00333E4A">
        <w:rPr>
          <w:rFonts w:asciiTheme="majorHAnsi" w:hAnsiTheme="majorHAnsi" w:cstheme="majorHAnsi"/>
          <w:color w:val="000000"/>
          <w:sz w:val="24"/>
        </w:rPr>
        <w:t xml:space="preserve">AHP or funding of new or existing research endeavors. </w:t>
      </w:r>
    </w:p>
    <w:p w14:paraId="4031E756" w14:textId="5584B591" w:rsidR="0090649F" w:rsidRPr="0044144A" w:rsidRDefault="0090649F" w:rsidP="0090649F">
      <w:pPr>
        <w:rPr>
          <w:rFonts w:asciiTheme="majorHAnsi" w:hAnsiTheme="majorHAnsi" w:cstheme="majorHAnsi"/>
          <w:sz w:val="24"/>
        </w:rPr>
      </w:pPr>
    </w:p>
    <w:p w14:paraId="5F366805" w14:textId="4E044C7C" w:rsidR="0090649F" w:rsidRPr="00333E4A" w:rsidRDefault="0090649F" w:rsidP="0090649F">
      <w:pPr>
        <w:rPr>
          <w:rFonts w:asciiTheme="majorHAnsi" w:hAnsiTheme="majorHAnsi" w:cstheme="majorHAnsi"/>
          <w:sz w:val="24"/>
          <w:vertAlign w:val="superscript"/>
        </w:rPr>
      </w:pPr>
      <w:r w:rsidRPr="00333E4A">
        <w:rPr>
          <w:rFonts w:asciiTheme="majorHAnsi" w:hAnsiTheme="majorHAnsi" w:cstheme="majorHAnsi"/>
          <w:b/>
          <w:sz w:val="24"/>
        </w:rPr>
        <w:t>Deadline for applications is October 1</w:t>
      </w:r>
      <w:r w:rsidRPr="00333E4A">
        <w:rPr>
          <w:rFonts w:asciiTheme="majorHAnsi" w:hAnsiTheme="majorHAnsi" w:cstheme="majorHAnsi"/>
          <w:b/>
          <w:sz w:val="24"/>
          <w:vertAlign w:val="superscript"/>
        </w:rPr>
        <w:t>st</w:t>
      </w:r>
      <w:r w:rsidR="00A72CE7">
        <w:rPr>
          <w:rFonts w:asciiTheme="majorHAnsi" w:hAnsiTheme="majorHAnsi" w:cstheme="majorHAnsi"/>
          <w:b/>
          <w:sz w:val="24"/>
        </w:rPr>
        <w:t xml:space="preserve"> 2019</w:t>
      </w:r>
      <w:r w:rsidR="00D95709" w:rsidRPr="00333E4A">
        <w:rPr>
          <w:rFonts w:asciiTheme="majorHAnsi" w:hAnsiTheme="majorHAnsi" w:cstheme="majorHAnsi"/>
          <w:b/>
          <w:sz w:val="24"/>
        </w:rPr>
        <w:t>.</w:t>
      </w:r>
      <w:r w:rsidR="00D95709">
        <w:rPr>
          <w:rFonts w:asciiTheme="majorHAnsi" w:hAnsiTheme="majorHAnsi" w:cstheme="majorHAnsi"/>
          <w:sz w:val="24"/>
        </w:rPr>
        <w:t xml:space="preserve"> A</w:t>
      </w:r>
      <w:r w:rsidRPr="00333E4A">
        <w:rPr>
          <w:rFonts w:asciiTheme="majorHAnsi" w:hAnsiTheme="majorHAnsi" w:cstheme="majorHAnsi"/>
          <w:sz w:val="24"/>
        </w:rPr>
        <w:t xml:space="preserve">ll applications will be anonymized during the review process by the Selection Committee, in order to reduce bias and promote fairness. </w:t>
      </w:r>
      <w:r w:rsidRPr="0044144A">
        <w:rPr>
          <w:rFonts w:asciiTheme="majorHAnsi" w:hAnsiTheme="majorHAnsi" w:cstheme="majorHAnsi"/>
          <w:sz w:val="24"/>
        </w:rPr>
        <w:t xml:space="preserve">The Selection Committee reserves the right to withhold selection of successful candidates, based on the caliber of the applications submitted each year. Successful applicants will be notified in early November. </w:t>
      </w:r>
    </w:p>
    <w:p w14:paraId="1405D111" w14:textId="4608245B" w:rsidR="000050D7" w:rsidRPr="00333E4A" w:rsidRDefault="000050D7" w:rsidP="005F7F72">
      <w:pPr>
        <w:rPr>
          <w:rFonts w:asciiTheme="majorHAnsi" w:hAnsiTheme="majorHAnsi" w:cstheme="majorHAnsi"/>
          <w:color w:val="000000"/>
          <w:sz w:val="24"/>
        </w:rPr>
      </w:pPr>
    </w:p>
    <w:p w14:paraId="3DB26847" w14:textId="7F8A70F4" w:rsidR="005F7F72" w:rsidRPr="00333E4A" w:rsidRDefault="0090649F" w:rsidP="0090649F">
      <w:pPr>
        <w:pStyle w:val="NormalWeb"/>
        <w:rPr>
          <w:rFonts w:asciiTheme="majorHAnsi" w:hAnsiTheme="majorHAnsi" w:cstheme="majorHAnsi"/>
        </w:rPr>
      </w:pPr>
      <w:r w:rsidRPr="0044144A">
        <w:rPr>
          <w:rFonts w:asciiTheme="majorHAnsi" w:hAnsiTheme="majorHAnsi" w:cstheme="majorHAnsi"/>
        </w:rPr>
        <w:lastRenderedPageBreak/>
        <w:t xml:space="preserve">Award funds will be released on a quarterly basis. </w:t>
      </w:r>
      <w:r w:rsidRPr="0044144A">
        <w:rPr>
          <w:rFonts w:asciiTheme="majorHAnsi" w:hAnsiTheme="majorHAnsi" w:cstheme="majorHAnsi"/>
          <w:color w:val="000000"/>
        </w:rPr>
        <w:t>All awardees will be expected to present progress on their award-winning Models of Care Initiative, in the form of an oral or poster presentation, at the ORA An</w:t>
      </w:r>
      <w:r w:rsidR="00FD05D2">
        <w:rPr>
          <w:rFonts w:asciiTheme="majorHAnsi" w:hAnsiTheme="majorHAnsi" w:cstheme="majorHAnsi"/>
          <w:color w:val="000000"/>
        </w:rPr>
        <w:t xml:space="preserve">nual General </w:t>
      </w:r>
      <w:bookmarkStart w:id="3" w:name="_GoBack"/>
      <w:bookmarkEnd w:id="3"/>
      <w:r w:rsidR="00274D60">
        <w:rPr>
          <w:rFonts w:asciiTheme="majorHAnsi" w:hAnsiTheme="majorHAnsi" w:cstheme="majorHAnsi"/>
          <w:color w:val="000000"/>
        </w:rPr>
        <w:t>Meeting</w:t>
      </w:r>
      <w:r w:rsidRPr="0044144A">
        <w:rPr>
          <w:rFonts w:asciiTheme="majorHAnsi" w:hAnsiTheme="majorHAnsi" w:cstheme="majorHAnsi"/>
          <w:color w:val="000000"/>
        </w:rPr>
        <w:t xml:space="preserve">. </w:t>
      </w:r>
      <w:r w:rsidRPr="0044144A">
        <w:rPr>
          <w:rFonts w:asciiTheme="majorHAnsi" w:hAnsiTheme="majorHAnsi" w:cstheme="majorHAnsi"/>
        </w:rPr>
        <w:t xml:space="preserve">At the end of the award period, </w:t>
      </w:r>
      <w:r w:rsidRPr="0044144A">
        <w:rPr>
          <w:rFonts w:asciiTheme="majorHAnsi" w:hAnsiTheme="majorHAnsi" w:cstheme="majorHAnsi"/>
          <w:color w:val="000000"/>
        </w:rPr>
        <w:t xml:space="preserve">a final report is expected from the awardee, with short presentation to the ORA Board of Directors in November. With receipt of final reports, successful applicants may be eligible to apply for a second year of funding, up to maximum of $20,000. </w:t>
      </w:r>
    </w:p>
    <w:p w14:paraId="5F2A3ACB" w14:textId="77777777" w:rsidR="005F7F72" w:rsidRPr="0044144A" w:rsidRDefault="005F7F72" w:rsidP="0000341A">
      <w:pPr>
        <w:pStyle w:val="NormalWeb"/>
        <w:rPr>
          <w:rFonts w:asciiTheme="majorHAnsi" w:hAnsiTheme="majorHAnsi" w:cstheme="majorHAnsi"/>
          <w:color w:val="000000"/>
        </w:rPr>
      </w:pPr>
    </w:p>
    <w:p w14:paraId="3D9DD558" w14:textId="10326A0C" w:rsidR="008D0133" w:rsidRPr="00333E4A" w:rsidRDefault="00C21118" w:rsidP="00855A6B">
      <w:pPr>
        <w:pStyle w:val="Heading2"/>
        <w:rPr>
          <w:rFonts w:cstheme="majorHAnsi"/>
          <w:sz w:val="24"/>
          <w:szCs w:val="24"/>
        </w:rPr>
      </w:pPr>
      <w:r w:rsidRPr="00333E4A">
        <w:rPr>
          <w:rFonts w:cstheme="majorHAnsi"/>
          <w:sz w:val="24"/>
          <w:szCs w:val="24"/>
        </w:rPr>
        <w:t>Applicant’s</w:t>
      </w:r>
      <w:r w:rsidR="00855A6B" w:rsidRPr="00333E4A">
        <w:rPr>
          <w:rFonts w:cstheme="majorHAnsi"/>
          <w:sz w:val="24"/>
          <w:szCs w:val="24"/>
        </w:rPr>
        <w:t xml:space="preserve"> Information</w:t>
      </w:r>
      <w:r w:rsidRPr="00333E4A">
        <w:rPr>
          <w:rFonts w:cstheme="majorHAnsi"/>
          <w:sz w:val="24"/>
          <w:szCs w:val="24"/>
        </w:rPr>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0"/>
        <w:gridCol w:w="6680"/>
      </w:tblGrid>
      <w:tr w:rsidR="008D0133" w:rsidRPr="0044144A" w14:paraId="67A72E8E" w14:textId="77777777" w:rsidTr="00FF72A2">
        <w:tc>
          <w:tcPr>
            <w:tcW w:w="2680" w:type="dxa"/>
            <w:tcBorders>
              <w:top w:val="single" w:sz="4" w:space="0" w:color="BFBFBF" w:themeColor="background1" w:themeShade="BF"/>
            </w:tcBorders>
            <w:vAlign w:val="center"/>
          </w:tcPr>
          <w:p w14:paraId="6B0E7465" w14:textId="77777777" w:rsidR="008D0133" w:rsidRPr="00333E4A" w:rsidRDefault="008D0133" w:rsidP="00A01B1C">
            <w:pPr>
              <w:rPr>
                <w:rFonts w:asciiTheme="majorHAnsi" w:hAnsiTheme="majorHAnsi" w:cstheme="majorHAnsi"/>
                <w:sz w:val="24"/>
              </w:rPr>
            </w:pPr>
            <w:r w:rsidRPr="00333E4A">
              <w:rPr>
                <w:rFonts w:asciiTheme="majorHAnsi" w:hAnsiTheme="majorHAnsi" w:cstheme="majorHAnsi"/>
                <w:sz w:val="24"/>
              </w:rPr>
              <w:t>Name</w:t>
            </w:r>
          </w:p>
        </w:tc>
        <w:tc>
          <w:tcPr>
            <w:tcW w:w="6680" w:type="dxa"/>
            <w:tcBorders>
              <w:top w:val="single" w:sz="4" w:space="0" w:color="BFBFBF" w:themeColor="background1" w:themeShade="BF"/>
            </w:tcBorders>
            <w:vAlign w:val="center"/>
          </w:tcPr>
          <w:p w14:paraId="24944852" w14:textId="77777777" w:rsidR="008D0133" w:rsidRPr="00333E4A" w:rsidRDefault="008D0133">
            <w:pPr>
              <w:rPr>
                <w:rFonts w:asciiTheme="majorHAnsi" w:hAnsiTheme="majorHAnsi" w:cstheme="majorHAnsi"/>
                <w:sz w:val="24"/>
              </w:rPr>
            </w:pPr>
          </w:p>
        </w:tc>
      </w:tr>
      <w:tr w:rsidR="00FF72A2" w:rsidRPr="0044144A" w14:paraId="603068F8" w14:textId="77777777" w:rsidTr="00FF72A2">
        <w:tc>
          <w:tcPr>
            <w:tcW w:w="2680" w:type="dxa"/>
            <w:vAlign w:val="center"/>
          </w:tcPr>
          <w:p w14:paraId="13B1E357" w14:textId="77777777" w:rsidR="00FF72A2" w:rsidRPr="00333E4A" w:rsidRDefault="00FF72A2" w:rsidP="00FF72A2">
            <w:pPr>
              <w:rPr>
                <w:rFonts w:asciiTheme="majorHAnsi" w:hAnsiTheme="majorHAnsi" w:cstheme="majorHAnsi"/>
                <w:sz w:val="24"/>
              </w:rPr>
            </w:pPr>
            <w:r w:rsidRPr="00333E4A">
              <w:rPr>
                <w:rFonts w:asciiTheme="majorHAnsi" w:hAnsiTheme="majorHAnsi" w:cstheme="majorHAnsi"/>
                <w:sz w:val="24"/>
              </w:rPr>
              <w:t>Corporation and HST#</w:t>
            </w:r>
          </w:p>
          <w:p w14:paraId="2A6B4DB5" w14:textId="77777777" w:rsidR="00FF72A2" w:rsidRPr="00333E4A" w:rsidRDefault="00FF72A2" w:rsidP="00FF72A2">
            <w:pPr>
              <w:rPr>
                <w:rFonts w:asciiTheme="majorHAnsi" w:hAnsiTheme="majorHAnsi" w:cstheme="majorHAnsi"/>
                <w:sz w:val="24"/>
              </w:rPr>
            </w:pPr>
            <w:r w:rsidRPr="00333E4A">
              <w:rPr>
                <w:rFonts w:asciiTheme="majorHAnsi" w:hAnsiTheme="majorHAnsi" w:cstheme="majorHAnsi"/>
                <w:sz w:val="24"/>
              </w:rPr>
              <w:t>(if applicable)</w:t>
            </w:r>
          </w:p>
        </w:tc>
        <w:tc>
          <w:tcPr>
            <w:tcW w:w="6680" w:type="dxa"/>
            <w:vAlign w:val="center"/>
          </w:tcPr>
          <w:p w14:paraId="7190EF12" w14:textId="77777777" w:rsidR="00FF72A2" w:rsidRPr="00333E4A" w:rsidRDefault="00FF72A2" w:rsidP="00FF72A2">
            <w:pPr>
              <w:rPr>
                <w:rFonts w:asciiTheme="majorHAnsi" w:hAnsiTheme="majorHAnsi" w:cstheme="majorHAnsi"/>
                <w:sz w:val="24"/>
              </w:rPr>
            </w:pPr>
          </w:p>
        </w:tc>
      </w:tr>
      <w:tr w:rsidR="00FF72A2" w:rsidRPr="0044144A" w14:paraId="3F046457" w14:textId="77777777" w:rsidTr="00FF72A2">
        <w:tc>
          <w:tcPr>
            <w:tcW w:w="2680" w:type="dxa"/>
            <w:vAlign w:val="center"/>
          </w:tcPr>
          <w:p w14:paraId="3C37CD6F" w14:textId="77777777" w:rsidR="00FF72A2" w:rsidRPr="00333E4A" w:rsidRDefault="00FF72A2" w:rsidP="00FF72A2">
            <w:pPr>
              <w:rPr>
                <w:rFonts w:asciiTheme="majorHAnsi" w:hAnsiTheme="majorHAnsi" w:cstheme="majorHAnsi"/>
                <w:sz w:val="24"/>
              </w:rPr>
            </w:pPr>
            <w:r w:rsidRPr="00333E4A">
              <w:rPr>
                <w:rFonts w:asciiTheme="majorHAnsi" w:hAnsiTheme="majorHAnsi" w:cstheme="majorHAnsi"/>
                <w:sz w:val="24"/>
              </w:rPr>
              <w:t>Mailing Address</w:t>
            </w:r>
          </w:p>
        </w:tc>
        <w:tc>
          <w:tcPr>
            <w:tcW w:w="6680" w:type="dxa"/>
            <w:vAlign w:val="center"/>
          </w:tcPr>
          <w:p w14:paraId="43D0DEE9" w14:textId="77777777" w:rsidR="00FF72A2" w:rsidRPr="00333E4A" w:rsidRDefault="00FF72A2" w:rsidP="00FF72A2">
            <w:pPr>
              <w:rPr>
                <w:rFonts w:asciiTheme="majorHAnsi" w:hAnsiTheme="majorHAnsi" w:cstheme="majorHAnsi"/>
                <w:sz w:val="24"/>
              </w:rPr>
            </w:pPr>
          </w:p>
        </w:tc>
      </w:tr>
      <w:tr w:rsidR="008D0133" w:rsidRPr="0044144A" w14:paraId="0A367F66" w14:textId="77777777" w:rsidTr="00FF72A2">
        <w:tc>
          <w:tcPr>
            <w:tcW w:w="2680" w:type="dxa"/>
            <w:vAlign w:val="center"/>
          </w:tcPr>
          <w:p w14:paraId="268A3353" w14:textId="77777777" w:rsidR="008D0133" w:rsidRPr="00333E4A" w:rsidRDefault="00D767A2" w:rsidP="00A01B1C">
            <w:pPr>
              <w:rPr>
                <w:rFonts w:asciiTheme="majorHAnsi" w:hAnsiTheme="majorHAnsi" w:cstheme="majorHAnsi"/>
                <w:sz w:val="24"/>
              </w:rPr>
            </w:pPr>
            <w:r w:rsidRPr="00333E4A">
              <w:rPr>
                <w:rFonts w:asciiTheme="majorHAnsi" w:hAnsiTheme="majorHAnsi" w:cstheme="majorHAnsi"/>
                <w:sz w:val="24"/>
              </w:rPr>
              <w:t>Office Address (if different)</w:t>
            </w:r>
          </w:p>
        </w:tc>
        <w:tc>
          <w:tcPr>
            <w:tcW w:w="6680" w:type="dxa"/>
            <w:vAlign w:val="center"/>
          </w:tcPr>
          <w:p w14:paraId="1EDFC934" w14:textId="77777777" w:rsidR="008D0133" w:rsidRPr="00333E4A" w:rsidRDefault="008D0133">
            <w:pPr>
              <w:rPr>
                <w:rFonts w:asciiTheme="majorHAnsi" w:hAnsiTheme="majorHAnsi" w:cstheme="majorHAnsi"/>
                <w:sz w:val="24"/>
              </w:rPr>
            </w:pPr>
          </w:p>
        </w:tc>
      </w:tr>
      <w:tr w:rsidR="008D0133" w:rsidRPr="0044144A" w14:paraId="1F8CA1B1" w14:textId="77777777" w:rsidTr="00FF72A2">
        <w:tc>
          <w:tcPr>
            <w:tcW w:w="2680" w:type="dxa"/>
            <w:vAlign w:val="center"/>
          </w:tcPr>
          <w:p w14:paraId="67C225AC" w14:textId="77777777" w:rsidR="008D0133" w:rsidRPr="00333E4A" w:rsidRDefault="00D767A2" w:rsidP="00A01B1C">
            <w:pPr>
              <w:rPr>
                <w:rFonts w:asciiTheme="majorHAnsi" w:hAnsiTheme="majorHAnsi" w:cstheme="majorHAnsi"/>
                <w:sz w:val="24"/>
              </w:rPr>
            </w:pPr>
            <w:r w:rsidRPr="00333E4A">
              <w:rPr>
                <w:rFonts w:asciiTheme="majorHAnsi" w:hAnsiTheme="majorHAnsi" w:cstheme="majorHAnsi"/>
                <w:sz w:val="24"/>
              </w:rPr>
              <w:t xml:space="preserve">Contact </w:t>
            </w:r>
            <w:r w:rsidR="008D0133" w:rsidRPr="00333E4A">
              <w:rPr>
                <w:rFonts w:asciiTheme="majorHAnsi" w:hAnsiTheme="majorHAnsi" w:cstheme="majorHAnsi"/>
                <w:sz w:val="24"/>
              </w:rPr>
              <w:t>Phone</w:t>
            </w:r>
          </w:p>
        </w:tc>
        <w:tc>
          <w:tcPr>
            <w:tcW w:w="6680" w:type="dxa"/>
            <w:vAlign w:val="center"/>
          </w:tcPr>
          <w:p w14:paraId="1E2C2B7A" w14:textId="77777777" w:rsidR="008D0133" w:rsidRPr="00333E4A" w:rsidRDefault="008D0133">
            <w:pPr>
              <w:rPr>
                <w:rFonts w:asciiTheme="majorHAnsi" w:hAnsiTheme="majorHAnsi" w:cstheme="majorHAnsi"/>
                <w:sz w:val="24"/>
              </w:rPr>
            </w:pPr>
          </w:p>
        </w:tc>
      </w:tr>
      <w:tr w:rsidR="008D0133" w:rsidRPr="0044144A" w14:paraId="226C7451" w14:textId="77777777" w:rsidTr="00FF72A2">
        <w:tc>
          <w:tcPr>
            <w:tcW w:w="2680" w:type="dxa"/>
            <w:vAlign w:val="center"/>
          </w:tcPr>
          <w:p w14:paraId="7123C9E1" w14:textId="77777777" w:rsidR="008D0133" w:rsidRPr="00333E4A" w:rsidRDefault="008D0133" w:rsidP="00A01B1C">
            <w:pPr>
              <w:rPr>
                <w:rFonts w:asciiTheme="majorHAnsi" w:hAnsiTheme="majorHAnsi" w:cstheme="majorHAnsi"/>
                <w:sz w:val="24"/>
              </w:rPr>
            </w:pPr>
            <w:r w:rsidRPr="00333E4A">
              <w:rPr>
                <w:rFonts w:asciiTheme="majorHAnsi" w:hAnsiTheme="majorHAnsi" w:cstheme="majorHAnsi"/>
                <w:sz w:val="24"/>
              </w:rPr>
              <w:t>E-Mail Address</w:t>
            </w:r>
          </w:p>
        </w:tc>
        <w:tc>
          <w:tcPr>
            <w:tcW w:w="6680" w:type="dxa"/>
            <w:vAlign w:val="center"/>
          </w:tcPr>
          <w:p w14:paraId="0504C0FE" w14:textId="77777777" w:rsidR="008D0133" w:rsidRPr="00333E4A" w:rsidRDefault="008D0133">
            <w:pPr>
              <w:rPr>
                <w:rFonts w:asciiTheme="majorHAnsi" w:hAnsiTheme="majorHAnsi" w:cstheme="majorHAnsi"/>
                <w:sz w:val="24"/>
              </w:rPr>
            </w:pPr>
          </w:p>
        </w:tc>
      </w:tr>
    </w:tbl>
    <w:p w14:paraId="35B70910" w14:textId="77777777" w:rsidR="00855A6B" w:rsidRPr="00333E4A" w:rsidRDefault="00C21118" w:rsidP="00855A6B">
      <w:pPr>
        <w:pStyle w:val="Heading2"/>
        <w:rPr>
          <w:rFonts w:cstheme="majorHAnsi"/>
          <w:sz w:val="24"/>
          <w:szCs w:val="24"/>
        </w:rPr>
      </w:pPr>
      <w:r w:rsidRPr="00333E4A">
        <w:rPr>
          <w:rFonts w:cstheme="majorHAnsi"/>
          <w:sz w:val="24"/>
          <w:szCs w:val="24"/>
        </w:rPr>
        <w:t xml:space="preserve">Funding </w:t>
      </w:r>
      <w:r w:rsidR="00D767A2" w:rsidRPr="00333E4A">
        <w:rPr>
          <w:rFonts w:cstheme="majorHAnsi"/>
          <w:sz w:val="24"/>
          <w:szCs w:val="24"/>
        </w:rPr>
        <w:t>Proposal</w:t>
      </w:r>
    </w:p>
    <w:p w14:paraId="49E38926" w14:textId="77777777" w:rsidR="0000341A" w:rsidRPr="00333E4A" w:rsidRDefault="0000341A" w:rsidP="0000341A">
      <w:pPr>
        <w:pStyle w:val="Heading3"/>
        <w:rPr>
          <w:rFonts w:asciiTheme="majorHAnsi" w:hAnsiTheme="majorHAnsi" w:cstheme="majorHAnsi"/>
          <w:sz w:val="24"/>
        </w:rPr>
      </w:pPr>
      <w:r w:rsidRPr="00333E4A">
        <w:rPr>
          <w:rFonts w:asciiTheme="majorHAnsi" w:hAnsiTheme="majorHAnsi" w:cstheme="majorHAnsi"/>
          <w:sz w:val="24"/>
        </w:rPr>
        <w:t xml:space="preserve">Please summarize </w:t>
      </w:r>
      <w:r w:rsidR="00FF72A2" w:rsidRPr="00333E4A">
        <w:rPr>
          <w:rFonts w:asciiTheme="majorHAnsi" w:hAnsiTheme="majorHAnsi" w:cstheme="majorHAnsi"/>
          <w:sz w:val="24"/>
        </w:rPr>
        <w:t>your rationale for</w:t>
      </w:r>
      <w:r w:rsidRPr="00333E4A">
        <w:rPr>
          <w:rFonts w:asciiTheme="majorHAnsi" w:hAnsiTheme="majorHAnsi" w:cstheme="majorHAnsi"/>
          <w:sz w:val="24"/>
        </w:rPr>
        <w:t xml:space="preserve"> applying for this award: (maximum 250 words):</w:t>
      </w:r>
    </w:p>
    <w:p w14:paraId="39114495" w14:textId="77777777" w:rsidR="00FF72A2" w:rsidRPr="00333E4A" w:rsidRDefault="00FF72A2" w:rsidP="00FF72A2">
      <w:pPr>
        <w:rPr>
          <w:rFonts w:asciiTheme="majorHAnsi" w:hAnsiTheme="majorHAnsi" w:cstheme="majorHAnsi"/>
          <w:sz w:val="24"/>
        </w:rPr>
      </w:pPr>
      <w:r w:rsidRPr="00333E4A">
        <w:rPr>
          <w:rFonts w:asciiTheme="majorHAnsi" w:hAnsiTheme="majorHAnsi" w:cstheme="majorHAnsi"/>
          <w:sz w:val="24"/>
        </w:rPr>
        <w:t>(include any institutional or strategic partnerships)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00341A" w:rsidRPr="0044144A" w14:paraId="76C91706" w14:textId="77777777" w:rsidTr="0007415D">
        <w:trPr>
          <w:trHeight w:hRule="exact" w:val="3520"/>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0D06F" w14:textId="77777777" w:rsidR="0000341A" w:rsidRPr="00333E4A" w:rsidRDefault="0000341A" w:rsidP="00F75ADD">
            <w:pPr>
              <w:rPr>
                <w:rFonts w:asciiTheme="majorHAnsi" w:hAnsiTheme="majorHAnsi" w:cstheme="majorHAnsi"/>
                <w:sz w:val="24"/>
              </w:rPr>
            </w:pPr>
          </w:p>
        </w:tc>
      </w:tr>
    </w:tbl>
    <w:p w14:paraId="1B85462E" w14:textId="77777777" w:rsidR="0007415D" w:rsidRPr="00333E4A" w:rsidRDefault="0007415D" w:rsidP="0007415D">
      <w:pPr>
        <w:pStyle w:val="Heading2"/>
        <w:rPr>
          <w:rFonts w:cstheme="majorHAnsi"/>
          <w:sz w:val="24"/>
          <w:szCs w:val="24"/>
        </w:rPr>
      </w:pPr>
      <w:r w:rsidRPr="00333E4A">
        <w:rPr>
          <w:rFonts w:cstheme="majorHAnsi"/>
          <w:sz w:val="24"/>
          <w:szCs w:val="24"/>
        </w:rPr>
        <w:lastRenderedPageBreak/>
        <w:t>Methodology</w:t>
      </w:r>
    </w:p>
    <w:p w14:paraId="62E21612" w14:textId="77777777" w:rsidR="0007415D" w:rsidRPr="00333E4A" w:rsidRDefault="0007415D" w:rsidP="0007415D">
      <w:pPr>
        <w:pStyle w:val="Heading3"/>
        <w:rPr>
          <w:rFonts w:asciiTheme="majorHAnsi" w:hAnsiTheme="majorHAnsi" w:cstheme="majorHAnsi"/>
          <w:sz w:val="24"/>
        </w:rPr>
      </w:pPr>
      <w:r w:rsidRPr="00333E4A">
        <w:rPr>
          <w:rFonts w:asciiTheme="majorHAnsi" w:hAnsiTheme="majorHAnsi" w:cstheme="majorHAnsi"/>
          <w:sz w:val="24"/>
        </w:rPr>
        <w:t xml:space="preserve">Please summarize </w:t>
      </w:r>
      <w:r w:rsidR="00A966DC" w:rsidRPr="00333E4A">
        <w:rPr>
          <w:rFonts w:asciiTheme="majorHAnsi" w:hAnsiTheme="majorHAnsi" w:cstheme="majorHAnsi"/>
          <w:sz w:val="24"/>
        </w:rPr>
        <w:t>your project</w:t>
      </w:r>
      <w:r w:rsidRPr="00333E4A">
        <w:rPr>
          <w:rFonts w:asciiTheme="majorHAnsi" w:hAnsiTheme="majorHAnsi" w:cstheme="majorHAnsi"/>
          <w:sz w:val="24"/>
        </w:rPr>
        <w:t xml:space="preserve"> and </w:t>
      </w:r>
      <w:r w:rsidR="00A966DC" w:rsidRPr="00333E4A">
        <w:rPr>
          <w:rFonts w:asciiTheme="majorHAnsi" w:hAnsiTheme="majorHAnsi" w:cstheme="majorHAnsi"/>
          <w:sz w:val="24"/>
        </w:rPr>
        <w:t xml:space="preserve">key </w:t>
      </w:r>
      <w:r w:rsidRPr="00333E4A">
        <w:rPr>
          <w:rFonts w:asciiTheme="majorHAnsi" w:hAnsiTheme="majorHAnsi" w:cstheme="majorHAnsi"/>
          <w:sz w:val="24"/>
        </w:rPr>
        <w:t xml:space="preserve">deliverables (include qualitative and quantitative indicators of success) for your proposal.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07415D" w:rsidRPr="0044144A" w14:paraId="37FC8962" w14:textId="77777777" w:rsidTr="00A934AD">
        <w:trPr>
          <w:trHeight w:hRule="exact" w:val="352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595B2" w14:textId="77777777" w:rsidR="0007415D" w:rsidRPr="00333E4A" w:rsidRDefault="0007415D" w:rsidP="00A934AD">
            <w:pPr>
              <w:rPr>
                <w:rFonts w:asciiTheme="majorHAnsi" w:hAnsiTheme="majorHAnsi" w:cstheme="majorHAnsi"/>
                <w:sz w:val="24"/>
              </w:rPr>
            </w:pPr>
          </w:p>
        </w:tc>
      </w:tr>
    </w:tbl>
    <w:p w14:paraId="6E2F4586" w14:textId="77777777" w:rsidR="0007415D" w:rsidRPr="00333E4A" w:rsidRDefault="0007415D">
      <w:pPr>
        <w:rPr>
          <w:rFonts w:asciiTheme="majorHAnsi" w:hAnsiTheme="majorHAnsi" w:cstheme="majorHAnsi"/>
          <w:sz w:val="24"/>
        </w:rPr>
      </w:pPr>
    </w:p>
    <w:p w14:paraId="268B061D" w14:textId="77777777" w:rsidR="008D0133" w:rsidRPr="00333E4A" w:rsidRDefault="0000341A">
      <w:pPr>
        <w:pStyle w:val="Heading2"/>
        <w:rPr>
          <w:rFonts w:cstheme="majorHAnsi"/>
          <w:sz w:val="24"/>
          <w:szCs w:val="24"/>
        </w:rPr>
      </w:pPr>
      <w:r w:rsidRPr="00333E4A">
        <w:rPr>
          <w:rFonts w:cstheme="majorHAnsi"/>
          <w:sz w:val="24"/>
          <w:szCs w:val="24"/>
        </w:rPr>
        <w:t>Timeline for implementation of your proposed initiative</w:t>
      </w:r>
    </w:p>
    <w:p w14:paraId="3E7657AF" w14:textId="77777777" w:rsidR="00855A6B" w:rsidRPr="00333E4A" w:rsidRDefault="00855A6B" w:rsidP="00855A6B">
      <w:pPr>
        <w:pStyle w:val="Heading3"/>
        <w:rPr>
          <w:rFonts w:asciiTheme="majorHAnsi" w:hAnsiTheme="majorHAnsi" w:cstheme="majorHAnsi"/>
          <w:sz w:val="24"/>
        </w:rPr>
      </w:pPr>
      <w:r w:rsidRPr="00333E4A">
        <w:rPr>
          <w:rFonts w:asciiTheme="majorHAnsi" w:hAnsiTheme="majorHAnsi" w:cstheme="majorHAnsi"/>
          <w:sz w:val="24"/>
        </w:rPr>
        <w:t xml:space="preserve">Summarize </w:t>
      </w:r>
      <w:r w:rsidR="0000341A" w:rsidRPr="00333E4A">
        <w:rPr>
          <w:rFonts w:asciiTheme="majorHAnsi" w:hAnsiTheme="majorHAnsi" w:cstheme="majorHAnsi"/>
          <w:sz w:val="24"/>
        </w:rPr>
        <w:t>key milestones that you will need to meet in order to complete</w:t>
      </w:r>
      <w:r w:rsidR="00C21118" w:rsidRPr="00333E4A">
        <w:rPr>
          <w:rFonts w:asciiTheme="majorHAnsi" w:hAnsiTheme="majorHAnsi" w:cstheme="majorHAnsi"/>
          <w:sz w:val="24"/>
        </w:rPr>
        <w:t xml:space="preserve"> your proposed initiative in 12-18 months.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44144A" w14:paraId="15A51CEF" w14:textId="77777777" w:rsidTr="00C21118">
        <w:trPr>
          <w:trHeight w:hRule="exact" w:val="272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EA38C" w14:textId="77777777" w:rsidR="008D0133" w:rsidRPr="00333E4A" w:rsidRDefault="008D0133">
            <w:pPr>
              <w:rPr>
                <w:rFonts w:asciiTheme="majorHAnsi" w:hAnsiTheme="majorHAnsi" w:cstheme="majorHAnsi"/>
                <w:sz w:val="24"/>
              </w:rPr>
            </w:pPr>
          </w:p>
        </w:tc>
      </w:tr>
    </w:tbl>
    <w:p w14:paraId="7A53C5F3" w14:textId="77777777" w:rsidR="008D0133" w:rsidRPr="00333E4A" w:rsidRDefault="00C21118">
      <w:pPr>
        <w:pStyle w:val="Heading2"/>
        <w:rPr>
          <w:rFonts w:cstheme="majorHAnsi"/>
          <w:sz w:val="24"/>
          <w:szCs w:val="24"/>
        </w:rPr>
      </w:pPr>
      <w:r w:rsidRPr="00333E4A">
        <w:rPr>
          <w:rFonts w:cstheme="majorHAnsi"/>
          <w:sz w:val="24"/>
          <w:szCs w:val="24"/>
        </w:rPr>
        <w:t>Financial Disclosure</w:t>
      </w:r>
    </w:p>
    <w:p w14:paraId="7ADE0644" w14:textId="77777777" w:rsidR="00855A6B" w:rsidRPr="00333E4A" w:rsidRDefault="00855A6B" w:rsidP="00855A6B">
      <w:pPr>
        <w:pStyle w:val="Heading3"/>
        <w:rPr>
          <w:rFonts w:asciiTheme="majorHAnsi" w:hAnsiTheme="majorHAnsi" w:cstheme="majorHAnsi"/>
          <w:sz w:val="24"/>
        </w:rPr>
      </w:pPr>
      <w:r w:rsidRPr="00333E4A">
        <w:rPr>
          <w:rFonts w:asciiTheme="majorHAnsi" w:hAnsiTheme="majorHAnsi" w:cstheme="majorHAnsi"/>
          <w:sz w:val="24"/>
        </w:rPr>
        <w:t xml:space="preserve">Summarize </w:t>
      </w:r>
      <w:r w:rsidR="00C21118" w:rsidRPr="00333E4A">
        <w:rPr>
          <w:rFonts w:asciiTheme="majorHAnsi" w:hAnsiTheme="majorHAnsi" w:cstheme="majorHAnsi"/>
          <w:sz w:val="24"/>
        </w:rPr>
        <w:t>all other sources of funding for models of care initiative within your practice</w:t>
      </w:r>
      <w:r w:rsidRPr="00333E4A">
        <w:rPr>
          <w:rFonts w:asciiTheme="majorHAnsi" w:hAnsiTheme="majorHAnsi" w:cstheme="majorHAnsi"/>
          <w:sz w:val="24"/>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RPr="0044144A" w14:paraId="402C3FA6"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35CCF" w14:textId="77777777" w:rsidR="008D0133" w:rsidRPr="00333E4A" w:rsidRDefault="008D0133">
            <w:pPr>
              <w:rPr>
                <w:rFonts w:asciiTheme="majorHAnsi" w:hAnsiTheme="majorHAnsi" w:cstheme="majorHAnsi"/>
                <w:sz w:val="24"/>
              </w:rPr>
            </w:pPr>
          </w:p>
        </w:tc>
      </w:tr>
    </w:tbl>
    <w:p w14:paraId="7C92A3F5" w14:textId="77777777" w:rsidR="00855A6B" w:rsidRPr="00333E4A" w:rsidRDefault="00855A6B" w:rsidP="00855A6B">
      <w:pPr>
        <w:pStyle w:val="Heading3"/>
        <w:rPr>
          <w:rFonts w:asciiTheme="majorHAnsi" w:hAnsiTheme="majorHAnsi" w:cstheme="majorHAnsi"/>
          <w:sz w:val="24"/>
        </w:rPr>
      </w:pPr>
    </w:p>
    <w:p w14:paraId="20A8FA59" w14:textId="77777777" w:rsidR="0007415D" w:rsidRPr="00333E4A" w:rsidRDefault="0007415D" w:rsidP="0007415D">
      <w:pPr>
        <w:pStyle w:val="Heading2"/>
        <w:rPr>
          <w:rFonts w:cstheme="majorHAnsi"/>
          <w:sz w:val="24"/>
          <w:szCs w:val="24"/>
        </w:rPr>
      </w:pPr>
      <w:r w:rsidRPr="00333E4A">
        <w:rPr>
          <w:rFonts w:cstheme="majorHAnsi"/>
          <w:sz w:val="24"/>
          <w:szCs w:val="24"/>
        </w:rPr>
        <w:t xml:space="preserve">Anticipated Budget Proposal </w:t>
      </w:r>
    </w:p>
    <w:p w14:paraId="0D98E40E" w14:textId="77777777" w:rsidR="0007415D" w:rsidRPr="00333E4A" w:rsidRDefault="0007415D" w:rsidP="0007415D">
      <w:pPr>
        <w:pStyle w:val="Heading3"/>
        <w:rPr>
          <w:rFonts w:asciiTheme="majorHAnsi" w:hAnsiTheme="majorHAnsi" w:cstheme="majorHAnsi"/>
          <w:sz w:val="24"/>
        </w:rPr>
      </w:pPr>
      <w:r w:rsidRPr="00333E4A">
        <w:rPr>
          <w:rFonts w:asciiTheme="majorHAnsi" w:hAnsiTheme="majorHAnsi" w:cstheme="majorHAnsi"/>
          <w:sz w:val="24"/>
        </w:rPr>
        <w:t xml:space="preserve">In the space provided below or on a separate page, please summarize your budget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07415D" w:rsidRPr="0044144A" w14:paraId="49D37560" w14:textId="77777777" w:rsidTr="00A934AD">
        <w:trPr>
          <w:trHeight w:hRule="exact" w:val="332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197A5" w14:textId="77777777" w:rsidR="0007415D" w:rsidRPr="00333E4A" w:rsidRDefault="0007415D" w:rsidP="00A934AD">
            <w:pPr>
              <w:rPr>
                <w:rFonts w:asciiTheme="majorHAnsi" w:hAnsiTheme="majorHAnsi" w:cstheme="majorHAnsi"/>
                <w:sz w:val="24"/>
              </w:rPr>
            </w:pPr>
          </w:p>
        </w:tc>
      </w:tr>
    </w:tbl>
    <w:p w14:paraId="504AB4F2" w14:textId="77777777" w:rsidR="00FF72A2" w:rsidRPr="00333E4A" w:rsidRDefault="00FF72A2" w:rsidP="00FF72A2">
      <w:pPr>
        <w:rPr>
          <w:rFonts w:asciiTheme="majorHAnsi" w:hAnsiTheme="majorHAnsi" w:cstheme="majorHAnsi"/>
          <w:b/>
          <w:sz w:val="24"/>
        </w:rPr>
      </w:pPr>
    </w:p>
    <w:p w14:paraId="5D0C9648" w14:textId="77777777" w:rsidR="00C307E5" w:rsidRPr="00333E4A" w:rsidRDefault="00C307E5" w:rsidP="00C307E5">
      <w:pPr>
        <w:pStyle w:val="Heading2"/>
        <w:rPr>
          <w:rFonts w:cstheme="majorHAnsi"/>
          <w:sz w:val="24"/>
          <w:szCs w:val="24"/>
        </w:rPr>
      </w:pPr>
      <w:r w:rsidRPr="00333E4A">
        <w:rPr>
          <w:rFonts w:cstheme="majorHAnsi"/>
          <w:sz w:val="24"/>
          <w:szCs w:val="24"/>
        </w:rPr>
        <w:t xml:space="preserve">For your information: </w:t>
      </w:r>
    </w:p>
    <w:p w14:paraId="46EE375A" w14:textId="1FE814F6" w:rsidR="00C307E5" w:rsidRPr="00333E4A" w:rsidRDefault="00C307E5" w:rsidP="00C307E5">
      <w:pPr>
        <w:pStyle w:val="Heading3"/>
        <w:rPr>
          <w:rFonts w:asciiTheme="majorHAnsi" w:hAnsiTheme="majorHAnsi" w:cstheme="majorHAnsi"/>
          <w:sz w:val="24"/>
        </w:rPr>
      </w:pPr>
      <w:r w:rsidRPr="00333E4A">
        <w:rPr>
          <w:rFonts w:asciiTheme="majorHAnsi" w:hAnsiTheme="majorHAnsi" w:cstheme="majorHAnsi"/>
          <w:sz w:val="24"/>
        </w:rPr>
        <w:t>Please submit a completed application along with cur</w:t>
      </w:r>
      <w:r w:rsidR="00D22D84" w:rsidRPr="00333E4A">
        <w:rPr>
          <w:rFonts w:asciiTheme="majorHAnsi" w:hAnsiTheme="majorHAnsi" w:cstheme="majorHAnsi"/>
          <w:sz w:val="24"/>
        </w:rPr>
        <w:t>riculum vitae (CV) of applicant and key partners (including involved allied health professionals in the</w:t>
      </w:r>
      <w:r w:rsidRPr="00333E4A">
        <w:rPr>
          <w:rFonts w:asciiTheme="majorHAnsi" w:hAnsiTheme="majorHAnsi" w:cstheme="majorHAnsi"/>
          <w:sz w:val="24"/>
        </w:rPr>
        <w:t xml:space="preserve"> proposal</w:t>
      </w:r>
      <w:r w:rsidR="00D22D84" w:rsidRPr="00333E4A">
        <w:rPr>
          <w:rFonts w:asciiTheme="majorHAnsi" w:hAnsiTheme="majorHAnsi" w:cstheme="majorHAnsi"/>
          <w:sz w:val="24"/>
        </w:rPr>
        <w:t>)</w:t>
      </w:r>
      <w:r w:rsidRPr="00333E4A">
        <w:rPr>
          <w:rFonts w:asciiTheme="majorHAnsi" w:hAnsiTheme="majorHAnsi" w:cstheme="majorHAnsi"/>
          <w:sz w:val="24"/>
        </w:rPr>
        <w:t xml:space="preserve">, to </w:t>
      </w:r>
      <w:r w:rsidR="00D22D84" w:rsidRPr="00333E4A">
        <w:rPr>
          <w:rFonts w:asciiTheme="majorHAnsi" w:hAnsiTheme="majorHAnsi" w:cstheme="majorHAnsi"/>
          <w:sz w:val="24"/>
        </w:rPr>
        <w:t xml:space="preserve">admin@ontariorheum.ca or mailing address: </w:t>
      </w:r>
    </w:p>
    <w:p w14:paraId="3BCE4074" w14:textId="77777777" w:rsidR="00D22D84" w:rsidRPr="00333E4A" w:rsidRDefault="00D22D84" w:rsidP="00D22D84">
      <w:pPr>
        <w:shd w:val="clear" w:color="auto" w:fill="FFFFFF"/>
        <w:spacing w:before="0" w:after="0"/>
        <w:rPr>
          <w:rFonts w:asciiTheme="majorHAnsi" w:hAnsiTheme="majorHAnsi" w:cstheme="majorHAnsi"/>
          <w:color w:val="000000"/>
          <w:sz w:val="24"/>
        </w:rPr>
      </w:pPr>
      <w:r w:rsidRPr="00333E4A">
        <w:rPr>
          <w:rFonts w:asciiTheme="majorHAnsi" w:hAnsiTheme="majorHAnsi" w:cstheme="majorHAnsi"/>
          <w:bCs/>
          <w:color w:val="000000"/>
          <w:sz w:val="24"/>
        </w:rPr>
        <w:t>Ontario Rheumatology Association</w:t>
      </w:r>
    </w:p>
    <w:p w14:paraId="728B63ED" w14:textId="77777777" w:rsidR="00D22D84" w:rsidRPr="00333E4A" w:rsidRDefault="00FD05D2" w:rsidP="00D22D84">
      <w:pPr>
        <w:shd w:val="clear" w:color="auto" w:fill="FFFFFF"/>
        <w:spacing w:before="0" w:after="0"/>
        <w:rPr>
          <w:rFonts w:asciiTheme="majorHAnsi" w:hAnsiTheme="majorHAnsi" w:cstheme="majorHAnsi"/>
          <w:sz w:val="24"/>
        </w:rPr>
      </w:pPr>
      <w:hyperlink r:id="rId7" w:history="1">
        <w:r w:rsidR="00D22D84" w:rsidRPr="00333E4A">
          <w:rPr>
            <w:rFonts w:asciiTheme="majorHAnsi" w:hAnsiTheme="majorHAnsi" w:cstheme="majorHAnsi"/>
            <w:bCs/>
            <w:sz w:val="24"/>
          </w:rPr>
          <w:t>6 - 14845 Yonge St.</w:t>
        </w:r>
      </w:hyperlink>
    </w:p>
    <w:p w14:paraId="6885675E" w14:textId="77777777" w:rsidR="00D22D84" w:rsidRPr="00333E4A" w:rsidRDefault="00FD05D2" w:rsidP="00D22D84">
      <w:pPr>
        <w:shd w:val="clear" w:color="auto" w:fill="FFFFFF"/>
        <w:spacing w:before="0" w:after="0"/>
        <w:rPr>
          <w:rFonts w:asciiTheme="majorHAnsi" w:hAnsiTheme="majorHAnsi" w:cstheme="majorHAnsi"/>
          <w:sz w:val="24"/>
        </w:rPr>
      </w:pPr>
      <w:hyperlink r:id="rId8" w:history="1">
        <w:r w:rsidR="00D22D84" w:rsidRPr="00333E4A">
          <w:rPr>
            <w:rFonts w:asciiTheme="majorHAnsi" w:hAnsiTheme="majorHAnsi" w:cstheme="majorHAnsi"/>
            <w:bCs/>
            <w:sz w:val="24"/>
          </w:rPr>
          <w:t>Suite # 262</w:t>
        </w:r>
      </w:hyperlink>
    </w:p>
    <w:p w14:paraId="60DB6D1E" w14:textId="77777777" w:rsidR="00D22D84" w:rsidRPr="00333E4A" w:rsidRDefault="00FD05D2" w:rsidP="00D22D84">
      <w:pPr>
        <w:shd w:val="clear" w:color="auto" w:fill="FFFFFF"/>
        <w:spacing w:before="0" w:after="0"/>
        <w:rPr>
          <w:rFonts w:asciiTheme="majorHAnsi" w:hAnsiTheme="majorHAnsi" w:cstheme="majorHAnsi"/>
          <w:sz w:val="24"/>
        </w:rPr>
      </w:pPr>
      <w:hyperlink r:id="rId9" w:history="1">
        <w:r w:rsidR="00D22D84" w:rsidRPr="00333E4A">
          <w:rPr>
            <w:rFonts w:asciiTheme="majorHAnsi" w:hAnsiTheme="majorHAnsi" w:cstheme="majorHAnsi"/>
            <w:bCs/>
            <w:sz w:val="24"/>
          </w:rPr>
          <w:t>Aurora, Ontario</w:t>
        </w:r>
      </w:hyperlink>
    </w:p>
    <w:p w14:paraId="5CF60E49" w14:textId="77777777" w:rsidR="00D22D84" w:rsidRPr="00333E4A" w:rsidRDefault="00FD05D2" w:rsidP="00D22D84">
      <w:pPr>
        <w:shd w:val="clear" w:color="auto" w:fill="FFFFFF"/>
        <w:spacing w:before="0" w:after="0"/>
        <w:rPr>
          <w:rFonts w:asciiTheme="majorHAnsi" w:hAnsiTheme="majorHAnsi" w:cstheme="majorHAnsi"/>
          <w:sz w:val="24"/>
        </w:rPr>
      </w:pPr>
      <w:hyperlink r:id="rId10" w:history="1">
        <w:r w:rsidR="00D22D84" w:rsidRPr="00333E4A">
          <w:rPr>
            <w:rFonts w:asciiTheme="majorHAnsi" w:hAnsiTheme="majorHAnsi" w:cstheme="majorHAnsi"/>
            <w:bCs/>
            <w:sz w:val="24"/>
          </w:rPr>
          <w:t>L4G 6H8</w:t>
        </w:r>
      </w:hyperlink>
    </w:p>
    <w:p w14:paraId="668EE00F" w14:textId="77777777" w:rsidR="00D22D84" w:rsidRPr="00D22D84" w:rsidRDefault="00D22D84" w:rsidP="00D22D84"/>
    <w:sectPr w:rsidR="00D22D84" w:rsidRPr="00D22D84"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3F7F"/>
    <w:multiLevelType w:val="hybridMultilevel"/>
    <w:tmpl w:val="856050F2"/>
    <w:lvl w:ilvl="0" w:tplc="DCE6E6C0">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B7AF0"/>
    <w:multiLevelType w:val="hybridMultilevel"/>
    <w:tmpl w:val="64A0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D18F8"/>
    <w:multiLevelType w:val="hybridMultilevel"/>
    <w:tmpl w:val="8E72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91F86"/>
    <w:multiLevelType w:val="hybridMultilevel"/>
    <w:tmpl w:val="25A6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0018B9"/>
    <w:multiLevelType w:val="hybridMultilevel"/>
    <w:tmpl w:val="76EE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827FE"/>
    <w:multiLevelType w:val="hybridMultilevel"/>
    <w:tmpl w:val="EF4E28B0"/>
    <w:lvl w:ilvl="0" w:tplc="A7E458E6">
      <w:start w:val="1"/>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A2"/>
    <w:rsid w:val="0000341A"/>
    <w:rsid w:val="000050D7"/>
    <w:rsid w:val="0007415D"/>
    <w:rsid w:val="001C200E"/>
    <w:rsid w:val="00274D60"/>
    <w:rsid w:val="00333E4A"/>
    <w:rsid w:val="0044144A"/>
    <w:rsid w:val="004A0A03"/>
    <w:rsid w:val="005F7F72"/>
    <w:rsid w:val="00855A6B"/>
    <w:rsid w:val="008D0133"/>
    <w:rsid w:val="0090649F"/>
    <w:rsid w:val="0097298E"/>
    <w:rsid w:val="00993B1C"/>
    <w:rsid w:val="00A01B1C"/>
    <w:rsid w:val="00A72CE7"/>
    <w:rsid w:val="00A966DC"/>
    <w:rsid w:val="00C21118"/>
    <w:rsid w:val="00C307E5"/>
    <w:rsid w:val="00D22D84"/>
    <w:rsid w:val="00D767A2"/>
    <w:rsid w:val="00D95709"/>
    <w:rsid w:val="00FD05D2"/>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42E8C"/>
  <w15:docId w15:val="{502E3088-2552-4B7D-93C4-3FA0CF64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uiPriority w:val="99"/>
    <w:unhideWhenUsed/>
    <w:rsid w:val="0000341A"/>
    <w:pPr>
      <w:spacing w:before="0" w:after="0"/>
    </w:pPr>
    <w:rPr>
      <w:rFonts w:ascii="Times New Roman" w:hAnsi="Times New Roman"/>
      <w:sz w:val="24"/>
    </w:rPr>
  </w:style>
  <w:style w:type="character" w:styleId="Hyperlink">
    <w:name w:val="Hyperlink"/>
    <w:basedOn w:val="DefaultParagraphFont"/>
    <w:uiPriority w:val="99"/>
    <w:semiHidden/>
    <w:unhideWhenUsed/>
    <w:rsid w:val="00D22D84"/>
    <w:rPr>
      <w:color w:val="0000FF"/>
      <w:u w:val="single"/>
    </w:rPr>
  </w:style>
  <w:style w:type="paragraph" w:styleId="Footer">
    <w:name w:val="footer"/>
    <w:basedOn w:val="Normal"/>
    <w:link w:val="FooterChar"/>
    <w:uiPriority w:val="99"/>
    <w:unhideWhenUsed/>
    <w:rsid w:val="005F7F72"/>
    <w:pPr>
      <w:tabs>
        <w:tab w:val="center" w:pos="4680"/>
        <w:tab w:val="right" w:pos="9360"/>
      </w:tabs>
      <w:spacing w:before="0" w:after="0"/>
    </w:pPr>
    <w:rPr>
      <w:rFonts w:eastAsiaTheme="minorHAnsi" w:cstheme="minorBidi"/>
      <w:sz w:val="22"/>
      <w:szCs w:val="22"/>
    </w:rPr>
  </w:style>
  <w:style w:type="character" w:customStyle="1" w:styleId="FooterChar">
    <w:name w:val="Footer Char"/>
    <w:basedOn w:val="DefaultParagraphFont"/>
    <w:link w:val="Footer"/>
    <w:uiPriority w:val="99"/>
    <w:rsid w:val="005F7F72"/>
    <w:rPr>
      <w:rFonts w:asciiTheme="minorHAnsi" w:eastAsiaTheme="minorHAnsi" w:hAnsiTheme="minorHAnsi" w:cstheme="minorBidi"/>
      <w:sz w:val="22"/>
      <w:szCs w:val="22"/>
    </w:rPr>
  </w:style>
  <w:style w:type="paragraph" w:styleId="ListParagraph">
    <w:name w:val="List Paragraph"/>
    <w:basedOn w:val="Normal"/>
    <w:uiPriority w:val="34"/>
    <w:qFormat/>
    <w:rsid w:val="005F7F72"/>
    <w:pPr>
      <w:spacing w:before="0"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361630">
      <w:bodyDiv w:val="1"/>
      <w:marLeft w:val="0"/>
      <w:marRight w:val="0"/>
      <w:marTop w:val="0"/>
      <w:marBottom w:val="0"/>
      <w:divBdr>
        <w:top w:val="none" w:sz="0" w:space="0" w:color="auto"/>
        <w:left w:val="none" w:sz="0" w:space="0" w:color="auto"/>
        <w:bottom w:val="none" w:sz="0" w:space="0" w:color="auto"/>
        <w:right w:val="none" w:sz="0" w:space="0" w:color="auto"/>
      </w:divBdr>
    </w:div>
    <w:div w:id="1111319993">
      <w:bodyDiv w:val="1"/>
      <w:marLeft w:val="0"/>
      <w:marRight w:val="0"/>
      <w:marTop w:val="0"/>
      <w:marBottom w:val="0"/>
      <w:divBdr>
        <w:top w:val="none" w:sz="0" w:space="0" w:color="auto"/>
        <w:left w:val="none" w:sz="0" w:space="0" w:color="auto"/>
        <w:bottom w:val="none" w:sz="0" w:space="0" w:color="auto"/>
        <w:right w:val="none" w:sz="0" w:space="0" w:color="auto"/>
      </w:divBdr>
      <w:divsChild>
        <w:div w:id="1477646285">
          <w:marLeft w:val="0"/>
          <w:marRight w:val="0"/>
          <w:marTop w:val="0"/>
          <w:marBottom w:val="0"/>
          <w:divBdr>
            <w:top w:val="none" w:sz="0" w:space="0" w:color="auto"/>
            <w:left w:val="none" w:sz="0" w:space="0" w:color="auto"/>
            <w:bottom w:val="none" w:sz="0" w:space="0" w:color="auto"/>
            <w:right w:val="none" w:sz="0" w:space="0" w:color="auto"/>
          </w:divBdr>
        </w:div>
        <w:div w:id="318926232">
          <w:marLeft w:val="0"/>
          <w:marRight w:val="0"/>
          <w:marTop w:val="0"/>
          <w:marBottom w:val="0"/>
          <w:divBdr>
            <w:top w:val="none" w:sz="0" w:space="0" w:color="auto"/>
            <w:left w:val="none" w:sz="0" w:space="0" w:color="auto"/>
            <w:bottom w:val="none" w:sz="0" w:space="0" w:color="auto"/>
            <w:right w:val="none" w:sz="0" w:space="0" w:color="auto"/>
          </w:divBdr>
        </w:div>
        <w:div w:id="2076078505">
          <w:marLeft w:val="0"/>
          <w:marRight w:val="0"/>
          <w:marTop w:val="0"/>
          <w:marBottom w:val="0"/>
          <w:divBdr>
            <w:top w:val="none" w:sz="0" w:space="0" w:color="auto"/>
            <w:left w:val="none" w:sz="0" w:space="0" w:color="auto"/>
            <w:bottom w:val="none" w:sz="0" w:space="0" w:color="auto"/>
            <w:right w:val="none" w:sz="0" w:space="0" w:color="auto"/>
          </w:divBdr>
        </w:div>
        <w:div w:id="114757568">
          <w:marLeft w:val="0"/>
          <w:marRight w:val="0"/>
          <w:marTop w:val="0"/>
          <w:marBottom w:val="0"/>
          <w:divBdr>
            <w:top w:val="none" w:sz="0" w:space="0" w:color="auto"/>
            <w:left w:val="none" w:sz="0" w:space="0" w:color="auto"/>
            <w:bottom w:val="none" w:sz="0" w:space="0" w:color="auto"/>
            <w:right w:val="none" w:sz="0" w:space="0" w:color="auto"/>
          </w:divBdr>
        </w:div>
        <w:div w:id="90927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maps.google.com/?q=6+-+14845+Yonge+St.*Suite+%23+262*+*Aurora,+Ontario*+*L4G+6H8*&amp;entry=gmail&amp;source=g" TargetMode="External"/><Relationship Id="rId8" Type="http://schemas.openxmlformats.org/officeDocument/2006/relationships/hyperlink" Target="https://maps.google.com/?q=6+-+14845+Yonge+St.*Suite+%23+262*+*Aurora,+Ontario*+*L4G+6H8*&amp;entry=gmail&amp;source=g" TargetMode="External"/><Relationship Id="rId9" Type="http://schemas.openxmlformats.org/officeDocument/2006/relationships/hyperlink" Target="https://maps.google.com/?q=6+-+14845+Yonge+St.*Suite+%23+262*+*Aurora,+Ontario*+*L4G+6H8*&amp;entry=gmail&amp;source=g" TargetMode="External"/><Relationship Id="rId10" Type="http://schemas.openxmlformats.org/officeDocument/2006/relationships/hyperlink" Target="https://maps.google.com/?q=6+-+14845+Yonge+St.*Suite+%23+262*+*Aurora,+Ontario*+*L4G+6H8*&amp;entry=gmail&amp;sourc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jeev\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C:\Users\Sujeev\AppData\Roaming\Microsoft\Templates\Volunteer application.dotx</Template>
  <TotalTime>6</TotalTime>
  <Pages>4</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Sujeev</dc:creator>
  <cp:keywords/>
  <cp:lastModifiedBy>Microsoft Office User</cp:lastModifiedBy>
  <cp:revision>4</cp:revision>
  <cp:lastPrinted>2003-07-23T17:40:00Z</cp:lastPrinted>
  <dcterms:created xsi:type="dcterms:W3CDTF">2019-07-12T13:08:00Z</dcterms:created>
  <dcterms:modified xsi:type="dcterms:W3CDTF">2019-07-15T17:41:00Z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