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CE9E4" w14:textId="77777777" w:rsidR="00CF15CE" w:rsidRDefault="00CF15CE"/>
    <w:p w14:paraId="3CF5ADA4" w14:textId="77777777" w:rsidR="002E49D8" w:rsidRDefault="002E49D8"/>
    <w:p w14:paraId="38132FF1" w14:textId="77777777" w:rsidR="002E49D8" w:rsidRDefault="002E49D8" w:rsidP="002E49D8">
      <w:pPr>
        <w:rPr>
          <w:rFonts w:eastAsia="Times New Roman"/>
        </w:rPr>
      </w:pPr>
      <w:r>
        <w:rPr>
          <w:rFonts w:eastAsia="Times New Roman"/>
        </w:rPr>
        <w:t xml:space="preserve"> </w:t>
      </w:r>
    </w:p>
    <w:p w14:paraId="5322EF57" w14:textId="02B1B47D" w:rsidR="002E49D8" w:rsidRDefault="002E49D8" w:rsidP="002E49D8">
      <w:pPr>
        <w:rPr>
          <w:rFonts w:eastAsia="Times New Roman"/>
        </w:rPr>
      </w:pPr>
      <w:r>
        <w:rPr>
          <w:rFonts w:eastAsia="Times New Roman"/>
          <w:i/>
          <w:iCs/>
        </w:rPr>
        <w:t>A rheumatologist’s decision to prescribe a biologic agent (biosimilar or innovator molecule) must be informed by the clinical need and must adhere to the principles of a sound therapeutic alliance. </w:t>
      </w:r>
      <w:r w:rsidR="00AC588E">
        <w:rPr>
          <w:rFonts w:eastAsia="Times New Roman"/>
          <w:i/>
          <w:iCs/>
        </w:rPr>
        <w:t>The Ontario Rheumatology Association (ORA)</w:t>
      </w:r>
      <w:r w:rsidR="00F45A42">
        <w:rPr>
          <w:rFonts w:eastAsia="Times New Roman"/>
          <w:i/>
          <w:iCs/>
        </w:rPr>
        <w:t xml:space="preserve"> is aware that automatic (non-medical) switching from innovator to biosimilar molecule may achieve cost-savings to the health care system.</w:t>
      </w:r>
      <w:r>
        <w:rPr>
          <w:rFonts w:eastAsia="Times New Roman"/>
        </w:rPr>
        <w:t xml:space="preserve"> </w:t>
      </w:r>
    </w:p>
    <w:p w14:paraId="7E44BEAF" w14:textId="77777777" w:rsidR="002E49D8" w:rsidRDefault="002E49D8" w:rsidP="002E49D8">
      <w:pPr>
        <w:rPr>
          <w:rFonts w:eastAsia="Times New Roman"/>
        </w:rPr>
      </w:pPr>
    </w:p>
    <w:p w14:paraId="2E5436DD" w14:textId="7F5713E8" w:rsidR="005D46DF" w:rsidRDefault="002E49D8" w:rsidP="002E49D8">
      <w:pPr>
        <w:rPr>
          <w:rFonts w:eastAsia="Times New Roman"/>
          <w:color w:val="000000"/>
        </w:rPr>
      </w:pPr>
      <w:r>
        <w:rPr>
          <w:rFonts w:eastAsia="Times New Roman"/>
          <w:b/>
          <w:bCs/>
          <w:u w:val="single"/>
        </w:rPr>
        <w:t xml:space="preserve">ORA Position on </w:t>
      </w:r>
      <w:r w:rsidR="00F45A42">
        <w:rPr>
          <w:rFonts w:eastAsia="Times New Roman"/>
          <w:b/>
          <w:bCs/>
          <w:u w:val="single"/>
        </w:rPr>
        <w:t xml:space="preserve">Non-Medical </w:t>
      </w:r>
      <w:r>
        <w:rPr>
          <w:rFonts w:eastAsia="Times New Roman"/>
          <w:b/>
          <w:bCs/>
          <w:u w:val="single"/>
        </w:rPr>
        <w:t>Switching:</w:t>
      </w:r>
      <w:r>
        <w:rPr>
          <w:rFonts w:eastAsia="Times New Roman"/>
          <w:b/>
          <w:bCs/>
          <w:u w:val="single"/>
        </w:rPr>
        <w:br/>
      </w:r>
      <w:r w:rsidR="00F114AB">
        <w:rPr>
          <w:rFonts w:eastAsia="Times New Roman"/>
        </w:rPr>
        <w:br/>
      </w:r>
      <w:r>
        <w:rPr>
          <w:rFonts w:eastAsia="Times New Roman"/>
        </w:rPr>
        <w:t>The ORA recogniz</w:t>
      </w:r>
      <w:r w:rsidR="00F114AB">
        <w:rPr>
          <w:rFonts w:eastAsia="Times New Roman"/>
        </w:rPr>
        <w:t>es that non-medical switching*</w:t>
      </w:r>
      <w:r>
        <w:rPr>
          <w:rFonts w:eastAsia="Times New Roman"/>
        </w:rPr>
        <w:t xml:space="preserve"> from innovator to biosimilar biologic medications with approved indications for patients with rheumatic disease is safe and has the potential to save health care system resources. </w:t>
      </w:r>
      <w:r w:rsidR="00F45A42">
        <w:rPr>
          <w:rFonts w:eastAsia="Times New Roman"/>
        </w:rPr>
        <w:t xml:space="preserve">The ORA’s </w:t>
      </w:r>
      <w:r w:rsidR="00F114AB">
        <w:rPr>
          <w:rFonts w:eastAsia="Times New Roman"/>
        </w:rPr>
        <w:t xml:space="preserve">support for </w:t>
      </w:r>
      <w:r w:rsidR="00F45A42">
        <w:rPr>
          <w:rFonts w:eastAsia="Times New Roman"/>
        </w:rPr>
        <w:t xml:space="preserve">non-medical </w:t>
      </w:r>
      <w:r w:rsidR="00F114AB">
        <w:rPr>
          <w:rFonts w:eastAsia="Times New Roman"/>
        </w:rPr>
        <w:t xml:space="preserve">switching is based on the </w:t>
      </w:r>
      <w:r w:rsidR="005D46DF">
        <w:rPr>
          <w:rFonts w:eastAsia="Times New Roman"/>
          <w:color w:val="000000"/>
        </w:rPr>
        <w:t>fol</w:t>
      </w:r>
      <w:r w:rsidR="00F114AB">
        <w:rPr>
          <w:rFonts w:eastAsia="Times New Roman"/>
          <w:color w:val="000000"/>
        </w:rPr>
        <w:t>lowing principles:</w:t>
      </w:r>
    </w:p>
    <w:p w14:paraId="63986975" w14:textId="77777777" w:rsidR="00F45A42" w:rsidRDefault="005D46DF" w:rsidP="002E49D8">
      <w:pPr>
        <w:rPr>
          <w:rFonts w:eastAsia="Times New Roman"/>
        </w:rPr>
      </w:pPr>
      <w:r>
        <w:rPr>
          <w:rFonts w:eastAsia="Times New Roman"/>
        </w:rPr>
        <w:t xml:space="preserve"> </w:t>
      </w:r>
      <w:r w:rsidR="002E49D8">
        <w:rPr>
          <w:rFonts w:eastAsia="Times New Roman"/>
        </w:rPr>
        <w:br/>
        <w:t>1. Switching results in no incremental cost born</w:t>
      </w:r>
      <w:r w:rsidR="000A2E63">
        <w:rPr>
          <w:rFonts w:eastAsia="Times New Roman"/>
        </w:rPr>
        <w:t>e</w:t>
      </w:r>
      <w:r w:rsidR="002E49D8">
        <w:rPr>
          <w:rFonts w:eastAsia="Times New Roman"/>
        </w:rPr>
        <w:t xml:space="preserve"> by patients;</w:t>
      </w:r>
      <w:r w:rsidR="002E49D8">
        <w:rPr>
          <w:rFonts w:eastAsia="Times New Roman"/>
        </w:rPr>
        <w:br/>
      </w:r>
      <w:r w:rsidR="002E49D8">
        <w:rPr>
          <w:rFonts w:eastAsia="Times New Roman"/>
        </w:rPr>
        <w:br/>
        <w:t xml:space="preserve">2. </w:t>
      </w:r>
      <w:r w:rsidR="00F114AB">
        <w:rPr>
          <w:rFonts w:eastAsia="Times New Roman"/>
        </w:rPr>
        <w:t>There are d</w:t>
      </w:r>
      <w:r w:rsidR="002E49D8">
        <w:rPr>
          <w:rFonts w:eastAsia="Times New Roman"/>
        </w:rPr>
        <w:t>emonstrable cost savings to the health system </w:t>
      </w:r>
      <w:r w:rsidR="00F114AB">
        <w:rPr>
          <w:rFonts w:eastAsia="Times New Roman"/>
        </w:rPr>
        <w:t xml:space="preserve"> </w:t>
      </w:r>
    </w:p>
    <w:p w14:paraId="0B8DB6B7" w14:textId="77777777" w:rsidR="00F45A42" w:rsidRDefault="00F45A42" w:rsidP="002E49D8">
      <w:pPr>
        <w:rPr>
          <w:rFonts w:eastAsia="Times New Roman"/>
        </w:rPr>
      </w:pPr>
    </w:p>
    <w:p w14:paraId="6FC9765A" w14:textId="594632D9" w:rsidR="002E49D8" w:rsidRDefault="001F4499" w:rsidP="002E49D8">
      <w:pPr>
        <w:rPr>
          <w:rFonts w:eastAsia="Times New Roman"/>
        </w:rPr>
      </w:pPr>
      <w:r>
        <w:rPr>
          <w:rFonts w:eastAsia="Times New Roman"/>
        </w:rPr>
        <w:t xml:space="preserve">With respect to implementation of non-medical switching, the ORA makes the following recommendations: </w:t>
      </w:r>
      <w:r w:rsidR="00F114AB">
        <w:rPr>
          <w:rFonts w:eastAsia="Times New Roman"/>
        </w:rPr>
        <w:br/>
      </w:r>
      <w:r w:rsidR="00F114AB">
        <w:rPr>
          <w:rFonts w:eastAsia="Times New Roman"/>
        </w:rPr>
        <w:br/>
      </w:r>
      <w:r>
        <w:rPr>
          <w:rFonts w:eastAsia="Times New Roman"/>
        </w:rPr>
        <w:t>1</w:t>
      </w:r>
      <w:r w:rsidR="002E49D8">
        <w:rPr>
          <w:rFonts w:eastAsia="Times New Roman"/>
        </w:rPr>
        <w:t xml:space="preserve">. </w:t>
      </w:r>
      <w:r w:rsidR="00AC3580">
        <w:rPr>
          <w:rFonts w:eastAsia="Times New Roman"/>
        </w:rPr>
        <w:t>To make the non-medical switch, a</w:t>
      </w:r>
      <w:r w:rsidR="002E49D8">
        <w:rPr>
          <w:rFonts w:eastAsia="Times New Roman"/>
        </w:rPr>
        <w:t xml:space="preserve"> time period of no less than 6 months is permitted, recognizing that </w:t>
      </w:r>
      <w:r>
        <w:rPr>
          <w:rFonts w:eastAsia="Times New Roman"/>
        </w:rPr>
        <w:t xml:space="preserve">there are </w:t>
      </w:r>
      <w:r w:rsidR="002E49D8">
        <w:rPr>
          <w:rFonts w:eastAsia="Times New Roman"/>
        </w:rPr>
        <w:t xml:space="preserve">practical challenges involved in switching </w:t>
      </w:r>
      <w:r>
        <w:rPr>
          <w:rFonts w:eastAsia="Times New Roman"/>
        </w:rPr>
        <w:t>including</w:t>
      </w:r>
      <w:r w:rsidR="002E49D8">
        <w:rPr>
          <w:rFonts w:eastAsia="Times New Roman"/>
        </w:rPr>
        <w:t xml:space="preserve"> counselling, additional clinic visits, and a</w:t>
      </w:r>
      <w:r w:rsidR="00F114AB">
        <w:rPr>
          <w:rFonts w:eastAsia="Times New Roman"/>
        </w:rPr>
        <w:t>dditional pharmacovigilance; </w:t>
      </w:r>
      <w:r w:rsidR="00F114AB">
        <w:rPr>
          <w:rFonts w:eastAsia="Times New Roman"/>
        </w:rPr>
        <w:br/>
      </w:r>
      <w:r w:rsidR="00F114AB">
        <w:rPr>
          <w:rFonts w:eastAsia="Times New Roman"/>
        </w:rPr>
        <w:br/>
      </w:r>
      <w:r>
        <w:rPr>
          <w:rFonts w:eastAsia="Times New Roman"/>
        </w:rPr>
        <w:t>2</w:t>
      </w:r>
      <w:r w:rsidR="002E49D8">
        <w:rPr>
          <w:rFonts w:eastAsia="Times New Roman"/>
        </w:rPr>
        <w:t>. The payer should provide the option to switch back to the innovator biologic if criteria are met for disease flar</w:t>
      </w:r>
      <w:r w:rsidR="00AC3580">
        <w:rPr>
          <w:rFonts w:eastAsia="Times New Roman"/>
        </w:rPr>
        <w:t>e within 6 months of switching.</w:t>
      </w:r>
    </w:p>
    <w:p w14:paraId="1ECE5222" w14:textId="77777777" w:rsidR="002E49D8" w:rsidRDefault="002E49D8" w:rsidP="002E49D8">
      <w:pPr>
        <w:rPr>
          <w:rFonts w:eastAsia="Times New Roman"/>
        </w:rPr>
      </w:pPr>
    </w:p>
    <w:p w14:paraId="57256360" w14:textId="72E3C4D7" w:rsidR="00AC3580" w:rsidRDefault="001F4499" w:rsidP="002E49D8">
      <w:pPr>
        <w:rPr>
          <w:rFonts w:eastAsia="Times New Roman"/>
        </w:rPr>
      </w:pPr>
      <w:r>
        <w:rPr>
          <w:rFonts w:eastAsia="Times New Roman"/>
        </w:rPr>
        <w:t>3</w:t>
      </w:r>
      <w:r w:rsidR="00F114AB">
        <w:rPr>
          <w:rFonts w:eastAsia="Times New Roman"/>
        </w:rPr>
        <w:t xml:space="preserve">. A portion of the cost savings should be reinvested </w:t>
      </w:r>
      <w:r w:rsidR="00AC3580">
        <w:rPr>
          <w:rFonts w:eastAsia="Times New Roman"/>
        </w:rPr>
        <w:t xml:space="preserve">to support </w:t>
      </w:r>
      <w:r w:rsidR="00F114AB">
        <w:rPr>
          <w:rFonts w:eastAsia="Times New Roman"/>
        </w:rPr>
        <w:t xml:space="preserve">care for Rheumatology patients (examples include </w:t>
      </w:r>
      <w:r w:rsidR="00D402D5">
        <w:rPr>
          <w:rFonts w:eastAsia="Times New Roman"/>
        </w:rPr>
        <w:t xml:space="preserve">innovative technologies to improve and monitor quality of care for patients, </w:t>
      </w:r>
      <w:r w:rsidR="00F114AB">
        <w:rPr>
          <w:rFonts w:eastAsia="Times New Roman"/>
        </w:rPr>
        <w:t>team-based models of care</w:t>
      </w:r>
      <w:r w:rsidR="00B5311B">
        <w:rPr>
          <w:rFonts w:eastAsia="Times New Roman"/>
        </w:rPr>
        <w:t>,</w:t>
      </w:r>
      <w:r w:rsidR="00F114AB">
        <w:rPr>
          <w:rFonts w:eastAsia="Times New Roman"/>
        </w:rPr>
        <w:t xml:space="preserve"> and access to specialists, medications, and currently non-funded laboratory test</w:t>
      </w:r>
      <w:r w:rsidR="007B262C">
        <w:rPr>
          <w:rFonts w:eastAsia="Times New Roman"/>
        </w:rPr>
        <w:t>s such as ACPA, ANCA, or APAs).</w:t>
      </w:r>
    </w:p>
    <w:p w14:paraId="36A65CCF" w14:textId="50624C97" w:rsidR="00F114AB" w:rsidRPr="00AC3580" w:rsidRDefault="00F114AB" w:rsidP="002E49D8">
      <w:pPr>
        <w:rPr>
          <w:rFonts w:eastAsia="Times New Roman"/>
        </w:rPr>
      </w:pPr>
      <w:r>
        <w:rPr>
          <w:rFonts w:eastAsia="Times New Roman"/>
        </w:rPr>
        <w:br/>
      </w:r>
    </w:p>
    <w:p w14:paraId="486713FE" w14:textId="77777777" w:rsidR="002E49D8" w:rsidRDefault="002E49D8" w:rsidP="002E49D8">
      <w:pPr>
        <w:rPr>
          <w:rFonts w:eastAsia="Times New Roman"/>
        </w:rPr>
      </w:pPr>
    </w:p>
    <w:p w14:paraId="3576DE4D" w14:textId="737AB723" w:rsidR="002E49D8" w:rsidRDefault="00F114AB">
      <w:r>
        <w:t xml:space="preserve">*Also called </w:t>
      </w:r>
      <w:r w:rsidR="00F45A42">
        <w:t>administrative</w:t>
      </w:r>
      <w:r>
        <w:t xml:space="preserve"> switching</w:t>
      </w:r>
      <w:r w:rsidR="007B262C">
        <w:t xml:space="preserve"> or transitioning</w:t>
      </w:r>
    </w:p>
    <w:p w14:paraId="31C24865" w14:textId="77777777" w:rsidR="00F42EBA" w:rsidRDefault="00F42EBA"/>
    <w:p w14:paraId="05600B5C" w14:textId="77777777" w:rsidR="00F42EBA" w:rsidRDefault="00F42EBA"/>
    <w:p w14:paraId="50A07288" w14:textId="77777777" w:rsidR="00F42EBA" w:rsidRDefault="00F42EBA"/>
    <w:p w14:paraId="3656A865" w14:textId="77777777" w:rsidR="00F42EBA" w:rsidRDefault="00F42EBA"/>
    <w:p w14:paraId="3586EE21" w14:textId="77777777" w:rsidR="00F42EBA" w:rsidRDefault="00F42EBA"/>
    <w:p w14:paraId="2B9335D7" w14:textId="0986D9CA" w:rsidR="00F42EBA" w:rsidRDefault="00F42EBA" w:rsidP="00F42EBA">
      <w:pPr>
        <w:rPr>
          <w:rFonts w:eastAsia="Times New Roman"/>
          <w:b/>
          <w:u w:val="single"/>
          <w:lang w:eastAsia="en-CA"/>
        </w:rPr>
      </w:pPr>
      <w:r w:rsidRPr="00F42EBA">
        <w:rPr>
          <w:rFonts w:eastAsia="Times New Roman"/>
          <w:b/>
          <w:u w:val="single"/>
          <w:lang w:eastAsia="en-CA"/>
        </w:rPr>
        <w:lastRenderedPageBreak/>
        <w:t>Frequently Asked Questions</w:t>
      </w:r>
      <w:r w:rsidR="00B91767">
        <w:rPr>
          <w:rFonts w:eastAsia="Times New Roman"/>
          <w:b/>
          <w:u w:val="single"/>
          <w:lang w:eastAsia="en-CA"/>
        </w:rPr>
        <w:t xml:space="preserve"> Will Be Posted On An</w:t>
      </w:r>
      <w:bookmarkStart w:id="0" w:name="_GoBack"/>
      <w:bookmarkEnd w:id="0"/>
      <w:r>
        <w:rPr>
          <w:rFonts w:eastAsia="Times New Roman"/>
          <w:b/>
          <w:u w:val="single"/>
          <w:lang w:eastAsia="en-CA"/>
        </w:rPr>
        <w:t xml:space="preserve"> Ongoing Basis</w:t>
      </w:r>
    </w:p>
    <w:p w14:paraId="6764CFF0" w14:textId="47C926B4" w:rsidR="00F42EBA" w:rsidRPr="00F42EBA" w:rsidRDefault="00F42EBA" w:rsidP="00F42EBA">
      <w:pPr>
        <w:rPr>
          <w:rFonts w:eastAsia="Times New Roman"/>
          <w:b/>
          <w:u w:val="single"/>
          <w:lang w:eastAsia="en-CA"/>
        </w:rPr>
      </w:pPr>
      <w:r>
        <w:rPr>
          <w:rFonts w:eastAsia="Times New Roman"/>
          <w:b/>
          <w:u w:val="single"/>
          <w:lang w:eastAsia="en-CA"/>
        </w:rPr>
        <w:t>Updated September 19, 2018</w:t>
      </w:r>
    </w:p>
    <w:p w14:paraId="49854741" w14:textId="77777777" w:rsidR="00F42EBA" w:rsidRDefault="00F42EBA" w:rsidP="00F42EBA">
      <w:pPr>
        <w:rPr>
          <w:rFonts w:eastAsia="Times New Roman"/>
          <w:lang w:eastAsia="en-CA"/>
        </w:rPr>
      </w:pPr>
    </w:p>
    <w:p w14:paraId="4869D659" w14:textId="77777777" w:rsidR="00F42EBA" w:rsidRPr="00F25F4A" w:rsidRDefault="00F42EBA" w:rsidP="00F42EBA">
      <w:pPr>
        <w:rPr>
          <w:rFonts w:eastAsia="Times New Roman"/>
          <w:lang w:eastAsia="en-CA"/>
        </w:rPr>
      </w:pPr>
      <w:r w:rsidRPr="00F25F4A">
        <w:rPr>
          <w:rFonts w:eastAsia="Times New Roman"/>
          <w:lang w:eastAsia="en-CA"/>
        </w:rPr>
        <w:t xml:space="preserve">1. </w:t>
      </w:r>
      <w:r w:rsidRPr="00F25F4A">
        <w:rPr>
          <w:rFonts w:eastAsia="Times New Roman"/>
          <w:b/>
          <w:bCs/>
          <w:lang w:eastAsia="en-CA"/>
        </w:rPr>
        <w:t>Why have you published the position statement at this time?</w:t>
      </w:r>
    </w:p>
    <w:p w14:paraId="1F50E5A2" w14:textId="77777777" w:rsidR="00F42EBA" w:rsidRPr="00F25F4A" w:rsidRDefault="00F42EBA" w:rsidP="00F42EBA">
      <w:pPr>
        <w:rPr>
          <w:rFonts w:eastAsia="Times New Roman"/>
          <w:lang w:eastAsia="en-CA"/>
        </w:rPr>
      </w:pPr>
      <w:r>
        <w:rPr>
          <w:rFonts w:eastAsia="Times New Roman"/>
          <w:lang w:eastAsia="en-CA"/>
        </w:rPr>
        <w:t xml:space="preserve">Biologic therapies have had a significant positive impact on a proportion of our patients who have not responded to usual conventional therapies, however at a significant expense to the system. </w:t>
      </w:r>
      <w:r w:rsidRPr="00F25F4A">
        <w:rPr>
          <w:rFonts w:eastAsia="Times New Roman"/>
          <w:lang w:eastAsia="en-CA"/>
        </w:rPr>
        <w:t xml:space="preserve">There is worldwide interest in the economic impact of biosimilar switching. It is possible that payers will choose to mandate this. In order to protect the interests of our members and their patients we wish to ensure that if non medical switching is mandated by a payer, that our position is clear. </w:t>
      </w:r>
    </w:p>
    <w:p w14:paraId="7D862E65" w14:textId="77777777" w:rsidR="00F42EBA" w:rsidRPr="00F25F4A" w:rsidRDefault="00F42EBA" w:rsidP="00F42EBA">
      <w:pPr>
        <w:rPr>
          <w:rFonts w:eastAsia="Times New Roman"/>
          <w:lang w:eastAsia="en-CA"/>
        </w:rPr>
      </w:pPr>
    </w:p>
    <w:p w14:paraId="1FAEE1E3" w14:textId="77777777" w:rsidR="00F42EBA" w:rsidRPr="00F25F4A" w:rsidRDefault="00F42EBA" w:rsidP="00F42EBA">
      <w:pPr>
        <w:rPr>
          <w:rFonts w:eastAsia="Times New Roman"/>
          <w:lang w:eastAsia="en-CA"/>
        </w:rPr>
      </w:pPr>
      <w:r w:rsidRPr="00F25F4A">
        <w:rPr>
          <w:rFonts w:eastAsia="Times New Roman"/>
          <w:lang w:eastAsia="en-CA"/>
        </w:rPr>
        <w:t xml:space="preserve">2. </w:t>
      </w:r>
      <w:r w:rsidRPr="00F25F4A">
        <w:rPr>
          <w:rFonts w:eastAsia="Times New Roman"/>
          <w:b/>
          <w:bCs/>
          <w:lang w:eastAsia="en-CA"/>
        </w:rPr>
        <w:t>Are you recommending switching?</w:t>
      </w:r>
    </w:p>
    <w:p w14:paraId="131C8B6C" w14:textId="77777777" w:rsidR="00F42EBA" w:rsidRPr="00F25F4A" w:rsidRDefault="00F42EBA" w:rsidP="00F42EBA">
      <w:pPr>
        <w:rPr>
          <w:rFonts w:eastAsia="Times New Roman"/>
          <w:lang w:eastAsia="en-CA"/>
        </w:rPr>
      </w:pPr>
      <w:r w:rsidRPr="00F25F4A">
        <w:rPr>
          <w:rFonts w:eastAsia="Times New Roman"/>
          <w:lang w:eastAsia="en-CA"/>
        </w:rPr>
        <w:t xml:space="preserve">No. We are responding to </w:t>
      </w:r>
      <w:r>
        <w:rPr>
          <w:rFonts w:eastAsia="Times New Roman"/>
          <w:lang w:eastAsia="en-CA"/>
        </w:rPr>
        <w:t>t</w:t>
      </w:r>
      <w:r w:rsidRPr="00F25F4A">
        <w:rPr>
          <w:rFonts w:eastAsia="Times New Roman"/>
          <w:lang w:eastAsia="en-CA"/>
        </w:rPr>
        <w:t>he current interest in the health economic impact of forced switching. We believe that outside this scenario the choice of biologic medication remains a discussion between clinician and patient, but we do believe that where equivalence has been demonstrated</w:t>
      </w:r>
      <w:r>
        <w:rPr>
          <w:rFonts w:eastAsia="Times New Roman"/>
          <w:lang w:eastAsia="en-CA"/>
        </w:rPr>
        <w:t>,</w:t>
      </w:r>
      <w:r w:rsidRPr="00F25F4A">
        <w:rPr>
          <w:rFonts w:eastAsia="Times New Roman"/>
          <w:lang w:eastAsia="en-CA"/>
        </w:rPr>
        <w:t xml:space="preserve"> that the potential for savings to the health care system should be considered by all stakeholders.</w:t>
      </w:r>
    </w:p>
    <w:p w14:paraId="491D6C6D" w14:textId="77777777" w:rsidR="00F42EBA" w:rsidRPr="00F25F4A" w:rsidRDefault="00F42EBA" w:rsidP="00F42EBA">
      <w:pPr>
        <w:rPr>
          <w:rFonts w:eastAsia="Times New Roman"/>
          <w:lang w:eastAsia="en-CA"/>
        </w:rPr>
      </w:pPr>
    </w:p>
    <w:p w14:paraId="08D5624D" w14:textId="77777777" w:rsidR="00F42EBA" w:rsidRPr="00F25F4A" w:rsidRDefault="00F42EBA" w:rsidP="00F42EBA">
      <w:pPr>
        <w:rPr>
          <w:rFonts w:eastAsia="Times New Roman"/>
          <w:lang w:eastAsia="en-CA"/>
        </w:rPr>
      </w:pPr>
      <w:r w:rsidRPr="00F25F4A">
        <w:rPr>
          <w:rFonts w:eastAsia="Times New Roman"/>
          <w:lang w:eastAsia="en-CA"/>
        </w:rPr>
        <w:t xml:space="preserve">3. </w:t>
      </w:r>
      <w:r w:rsidRPr="00F25F4A">
        <w:rPr>
          <w:rFonts w:eastAsia="Times New Roman"/>
          <w:b/>
          <w:bCs/>
          <w:lang w:eastAsia="en-CA"/>
        </w:rPr>
        <w:t>Is this your final position?</w:t>
      </w:r>
    </w:p>
    <w:p w14:paraId="7D28C922" w14:textId="77777777" w:rsidR="00F42EBA" w:rsidRPr="00F25F4A" w:rsidRDefault="00F42EBA" w:rsidP="00F42EBA">
      <w:pPr>
        <w:rPr>
          <w:rFonts w:eastAsia="Times New Roman"/>
          <w:lang w:eastAsia="en-CA"/>
        </w:rPr>
      </w:pPr>
      <w:r w:rsidRPr="00F25F4A">
        <w:rPr>
          <w:rFonts w:eastAsia="Times New Roman"/>
          <w:lang w:eastAsia="en-CA"/>
        </w:rPr>
        <w:t xml:space="preserve">Our position statement will be an iterative process and may change as new information is </w:t>
      </w:r>
      <w:r>
        <w:rPr>
          <w:rFonts w:eastAsia="Times New Roman"/>
          <w:lang w:eastAsia="en-CA"/>
        </w:rPr>
        <w:t>available</w:t>
      </w:r>
      <w:r w:rsidRPr="00F25F4A">
        <w:rPr>
          <w:rFonts w:eastAsia="Times New Roman"/>
          <w:lang w:eastAsia="en-CA"/>
        </w:rPr>
        <w:t>.</w:t>
      </w:r>
    </w:p>
    <w:p w14:paraId="20B92127" w14:textId="77777777" w:rsidR="00F42EBA" w:rsidRPr="00F25F4A" w:rsidRDefault="00F42EBA" w:rsidP="00F42EBA">
      <w:pPr>
        <w:rPr>
          <w:rFonts w:eastAsia="Times New Roman"/>
          <w:lang w:eastAsia="en-CA"/>
        </w:rPr>
      </w:pPr>
    </w:p>
    <w:p w14:paraId="79399C1F" w14:textId="77777777" w:rsidR="00F42EBA" w:rsidRPr="00F25F4A" w:rsidRDefault="00F42EBA" w:rsidP="00F42EBA">
      <w:pPr>
        <w:rPr>
          <w:rFonts w:eastAsia="Times New Roman"/>
          <w:lang w:eastAsia="en-CA"/>
        </w:rPr>
      </w:pPr>
      <w:r w:rsidRPr="00F25F4A">
        <w:rPr>
          <w:rFonts w:eastAsia="Times New Roman"/>
          <w:b/>
          <w:bCs/>
          <w:lang w:eastAsia="en-CA"/>
        </w:rPr>
        <w:t>4.What is your position on interchangeability?</w:t>
      </w:r>
    </w:p>
    <w:p w14:paraId="322751FD" w14:textId="77777777" w:rsidR="00F42EBA" w:rsidRDefault="00F42EBA" w:rsidP="00F42EBA">
      <w:pPr>
        <w:rPr>
          <w:rFonts w:eastAsia="Times New Roman"/>
          <w:lang w:eastAsia="en-CA"/>
        </w:rPr>
      </w:pPr>
      <w:r>
        <w:rPr>
          <w:rFonts w:eastAsia="Times New Roman"/>
          <w:lang w:eastAsia="en-CA"/>
        </w:rPr>
        <w:t>In the absence of data </w:t>
      </w:r>
      <w:r w:rsidRPr="00F25F4A">
        <w:rPr>
          <w:rFonts w:eastAsia="Times New Roman"/>
          <w:lang w:eastAsia="en-CA"/>
        </w:rPr>
        <w:t>we have no current opinion on interchangeability and substitution. Our statement assumes a single one direction switch to a biosimilar medication</w:t>
      </w:r>
      <w:r>
        <w:rPr>
          <w:rFonts w:eastAsia="Times New Roman"/>
          <w:lang w:eastAsia="en-CA"/>
        </w:rPr>
        <w:t>.</w:t>
      </w:r>
    </w:p>
    <w:p w14:paraId="29813326" w14:textId="77777777" w:rsidR="00F42EBA" w:rsidRPr="00F25F4A" w:rsidRDefault="00F42EBA" w:rsidP="00F42EBA">
      <w:pPr>
        <w:rPr>
          <w:rFonts w:eastAsia="Times New Roman"/>
          <w:lang w:eastAsia="en-CA"/>
        </w:rPr>
      </w:pPr>
    </w:p>
    <w:p w14:paraId="5C940348" w14:textId="77777777" w:rsidR="00F42EBA" w:rsidRPr="00F25F4A" w:rsidRDefault="00F42EBA" w:rsidP="00F42EBA">
      <w:pPr>
        <w:rPr>
          <w:rFonts w:eastAsia="Times New Roman"/>
          <w:lang w:eastAsia="en-CA"/>
        </w:rPr>
      </w:pPr>
      <w:r>
        <w:rPr>
          <w:rFonts w:eastAsia="Times New Roman"/>
          <w:lang w:eastAsia="en-CA"/>
        </w:rPr>
        <w:t>5</w:t>
      </w:r>
      <w:r w:rsidRPr="00F25F4A">
        <w:rPr>
          <w:rFonts w:eastAsia="Times New Roman"/>
          <w:lang w:eastAsia="en-CA"/>
        </w:rPr>
        <w:t xml:space="preserve">. </w:t>
      </w:r>
      <w:r w:rsidRPr="00F25F4A">
        <w:rPr>
          <w:rFonts w:eastAsia="Times New Roman"/>
          <w:b/>
          <w:bCs/>
          <w:lang w:eastAsia="en-CA"/>
        </w:rPr>
        <w:t>Have you consulted with all stakeholders?</w:t>
      </w:r>
    </w:p>
    <w:p w14:paraId="354ED020" w14:textId="77777777" w:rsidR="00F42EBA" w:rsidRPr="00F25F4A" w:rsidRDefault="00F42EBA" w:rsidP="00F42EBA">
      <w:pPr>
        <w:rPr>
          <w:rFonts w:eastAsia="Times New Roman"/>
          <w:lang w:eastAsia="en-CA"/>
        </w:rPr>
      </w:pPr>
      <w:r w:rsidRPr="00F25F4A">
        <w:rPr>
          <w:rFonts w:eastAsia="Times New Roman"/>
          <w:lang w:eastAsia="en-CA"/>
        </w:rPr>
        <w:t>We are always happy to receive feedback from stakeholders</w:t>
      </w:r>
      <w:r>
        <w:rPr>
          <w:rFonts w:eastAsia="Times New Roman"/>
          <w:lang w:eastAsia="en-CA"/>
        </w:rPr>
        <w:t xml:space="preserve"> including patients, manufacturers (Pharma) and payers, both private and public</w:t>
      </w:r>
      <w:r w:rsidRPr="00F25F4A">
        <w:rPr>
          <w:rFonts w:eastAsia="Times New Roman"/>
          <w:lang w:eastAsia="en-CA"/>
        </w:rPr>
        <w:t>. This position statement was primarily developed for members of our association.</w:t>
      </w:r>
    </w:p>
    <w:p w14:paraId="146A2DC0" w14:textId="77777777" w:rsidR="00F42EBA" w:rsidRDefault="00F42EBA"/>
    <w:sectPr w:rsidR="00F42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6E026" w14:textId="77777777" w:rsidR="009C0BCE" w:rsidRDefault="009C0BCE" w:rsidP="00751B6B">
      <w:r>
        <w:separator/>
      </w:r>
    </w:p>
  </w:endnote>
  <w:endnote w:type="continuationSeparator" w:id="0">
    <w:p w14:paraId="12C2B17D" w14:textId="77777777" w:rsidR="009C0BCE" w:rsidRDefault="009C0BCE" w:rsidP="0075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3482E" w14:textId="77777777" w:rsidR="00751B6B" w:rsidRDefault="00751B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596A" w14:textId="77777777" w:rsidR="00751B6B" w:rsidRDefault="00751B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9B4B" w14:textId="77777777" w:rsidR="00751B6B" w:rsidRDefault="00751B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45FF3" w14:textId="77777777" w:rsidR="009C0BCE" w:rsidRDefault="009C0BCE" w:rsidP="00751B6B">
      <w:r>
        <w:separator/>
      </w:r>
    </w:p>
  </w:footnote>
  <w:footnote w:type="continuationSeparator" w:id="0">
    <w:p w14:paraId="5175B993" w14:textId="77777777" w:rsidR="009C0BCE" w:rsidRDefault="009C0BCE" w:rsidP="00751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3B82" w14:textId="77777777" w:rsidR="00751B6B" w:rsidRDefault="00751B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4B61" w14:textId="77777777" w:rsidR="00751B6B" w:rsidRDefault="00751B6B" w:rsidP="00751B6B">
    <w:pPr>
      <w:pStyle w:val="Header"/>
      <w:jc w:val="center"/>
    </w:pPr>
    <w:r w:rsidRPr="00751B6B">
      <w:rPr>
        <w:noProof/>
      </w:rPr>
      <w:drawing>
        <wp:inline distT="0" distB="0" distL="0" distR="0" wp14:anchorId="6B0B2CB0" wp14:editId="26BE4091">
          <wp:extent cx="4972050" cy="9129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208" cy="928378"/>
                  </a:xfrm>
                  <a:prstGeom prst="rect">
                    <a:avLst/>
                  </a:prstGeom>
                  <a:noFill/>
                  <a:ln>
                    <a:noFill/>
                  </a:ln>
                </pic:spPr>
              </pic:pic>
            </a:graphicData>
          </a:graphic>
        </wp:inline>
      </w:drawing>
    </w:r>
  </w:p>
  <w:p w14:paraId="6F90B9C1" w14:textId="77777777" w:rsidR="00751B6B" w:rsidRDefault="00751B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FBBF" w14:textId="77777777" w:rsidR="00751B6B" w:rsidRDefault="00751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D8"/>
    <w:rsid w:val="000A2E63"/>
    <w:rsid w:val="001F4499"/>
    <w:rsid w:val="00225F15"/>
    <w:rsid w:val="002A36CE"/>
    <w:rsid w:val="002E2861"/>
    <w:rsid w:val="002E49D8"/>
    <w:rsid w:val="005C24E9"/>
    <w:rsid w:val="005D46DF"/>
    <w:rsid w:val="006A07E0"/>
    <w:rsid w:val="006C6C72"/>
    <w:rsid w:val="00751B6B"/>
    <w:rsid w:val="00793FD4"/>
    <w:rsid w:val="007B262C"/>
    <w:rsid w:val="009C0BCE"/>
    <w:rsid w:val="00A35E0A"/>
    <w:rsid w:val="00AC3580"/>
    <w:rsid w:val="00AC588E"/>
    <w:rsid w:val="00B5311B"/>
    <w:rsid w:val="00B90E0C"/>
    <w:rsid w:val="00B91767"/>
    <w:rsid w:val="00BA7037"/>
    <w:rsid w:val="00C71388"/>
    <w:rsid w:val="00CA2456"/>
    <w:rsid w:val="00CF15CE"/>
    <w:rsid w:val="00D402D5"/>
    <w:rsid w:val="00D64ABB"/>
    <w:rsid w:val="00E06482"/>
    <w:rsid w:val="00F114AB"/>
    <w:rsid w:val="00F42EBA"/>
    <w:rsid w:val="00F4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213F"/>
  <w15:chartTrackingRefBased/>
  <w15:docId w15:val="{8E631491-A59E-4272-8DA2-97ED2E68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6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51B6B"/>
  </w:style>
  <w:style w:type="paragraph" w:styleId="Footer">
    <w:name w:val="footer"/>
    <w:basedOn w:val="Normal"/>
    <w:link w:val="FooterChar"/>
    <w:uiPriority w:val="99"/>
    <w:unhideWhenUsed/>
    <w:rsid w:val="00751B6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51B6B"/>
  </w:style>
  <w:style w:type="paragraph" w:styleId="BalloonText">
    <w:name w:val="Balloon Text"/>
    <w:basedOn w:val="Normal"/>
    <w:link w:val="BalloonTextChar"/>
    <w:uiPriority w:val="99"/>
    <w:semiHidden/>
    <w:unhideWhenUsed/>
    <w:rsid w:val="00F45A42"/>
    <w:rPr>
      <w:sz w:val="18"/>
      <w:szCs w:val="18"/>
    </w:rPr>
  </w:style>
  <w:style w:type="character" w:customStyle="1" w:styleId="BalloonTextChar">
    <w:name w:val="Balloon Text Char"/>
    <w:basedOn w:val="DefaultParagraphFont"/>
    <w:link w:val="BalloonText"/>
    <w:uiPriority w:val="99"/>
    <w:semiHidden/>
    <w:rsid w:val="00F45A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Jane/Documents/Custom%20Office%20Templates/OR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ORA header.dotx</Template>
  <TotalTime>3</TotalTime>
  <Pages>2</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Jane C. Purvis, M.D., F.R.C.P. (C)</dc:creator>
  <cp:keywords/>
  <dc:description/>
  <cp:lastModifiedBy>Microsoft Office User</cp:lastModifiedBy>
  <cp:revision>3</cp:revision>
  <dcterms:created xsi:type="dcterms:W3CDTF">2018-09-19T20:16:00Z</dcterms:created>
  <dcterms:modified xsi:type="dcterms:W3CDTF">2018-09-19T20:24:00Z</dcterms:modified>
</cp:coreProperties>
</file>