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EF" w:rsidRDefault="00BC5CEF" w:rsidP="00BC5CEF">
      <w:pPr>
        <w:spacing w:after="240"/>
      </w:pPr>
      <w:r>
        <w:rPr>
          <w:rFonts w:ascii="Verdana" w:hAnsi="Verdana"/>
          <w:sz w:val="20"/>
          <w:szCs w:val="20"/>
        </w:rPr>
        <w:t> </w:t>
      </w:r>
      <w:r>
        <w:t xml:space="preserve"> </w:t>
      </w:r>
      <w:r>
        <w:br/>
      </w:r>
      <w:r>
        <w:rPr>
          <w:noProof/>
        </w:rPr>
        <w:drawing>
          <wp:inline distT="0" distB="0" distL="0" distR="0">
            <wp:extent cx="5781675" cy="1095375"/>
            <wp:effectExtent l="0" t="0" r="9525" b="9525"/>
            <wp:docPr id="1" name="Picture 1" descr="cid:_2_054ABE7C07566DB4005FEE2685257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54ABE7C07566DB4005FEE2685257D6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81675" cy="1095375"/>
                    </a:xfrm>
                    <a:prstGeom prst="rect">
                      <a:avLst/>
                    </a:prstGeom>
                    <a:noFill/>
                    <a:ln>
                      <a:noFill/>
                    </a:ln>
                  </pic:spPr>
                </pic:pic>
              </a:graphicData>
            </a:graphic>
          </wp:inline>
        </w:drawing>
      </w:r>
      <w:r>
        <w:br/>
      </w:r>
      <w:r>
        <w:br/>
      </w:r>
      <w:r>
        <w:rPr>
          <w:rFonts w:ascii="Verdana" w:hAnsi="Verdana"/>
          <w:sz w:val="20"/>
          <w:szCs w:val="20"/>
        </w:rPr>
        <w:t xml:space="preserve">As a subscriber to Health Canada’s </w:t>
      </w:r>
      <w:proofErr w:type="spellStart"/>
      <w:r>
        <w:rPr>
          <w:rFonts w:ascii="Verdana" w:hAnsi="Verdana"/>
          <w:sz w:val="20"/>
          <w:szCs w:val="20"/>
        </w:rPr>
        <w:t>MedEffect</w:t>
      </w:r>
      <w:r>
        <w:rPr>
          <w:rFonts w:ascii="Verdana" w:hAnsi="Verdana"/>
          <w:sz w:val="20"/>
          <w:szCs w:val="20"/>
          <w:vertAlign w:val="superscript"/>
        </w:rPr>
        <w:t>TM</w:t>
      </w:r>
      <w:proofErr w:type="spellEnd"/>
      <w:r>
        <w:rPr>
          <w:rFonts w:ascii="Verdana" w:hAnsi="Verdana"/>
          <w:sz w:val="20"/>
          <w:szCs w:val="20"/>
        </w:rPr>
        <w:t xml:space="preserve"> e-Notice, you are being informed of the latest </w:t>
      </w:r>
      <w:hyperlink r:id="rId6" w:history="1">
        <w:r>
          <w:rPr>
            <w:rStyle w:val="Hyperlink"/>
            <w:rFonts w:ascii="Verdana" w:hAnsi="Verdana"/>
            <w:sz w:val="20"/>
            <w:szCs w:val="20"/>
          </w:rPr>
          <w:t>Health Professional Communication</w:t>
        </w:r>
      </w:hyperlink>
      <w:r>
        <w:rPr>
          <w:rFonts w:ascii="Verdana" w:hAnsi="Verdana"/>
          <w:sz w:val="20"/>
          <w:szCs w:val="20"/>
        </w:rPr>
        <w:t xml:space="preserve"> and </w:t>
      </w:r>
      <w:hyperlink r:id="rId7" w:history="1">
        <w:r>
          <w:rPr>
            <w:rStyle w:val="Hyperlink"/>
            <w:rFonts w:ascii="Verdana" w:hAnsi="Verdana"/>
            <w:sz w:val="20"/>
            <w:szCs w:val="20"/>
          </w:rPr>
          <w:t>Public Communication</w:t>
        </w:r>
      </w:hyperlink>
      <w:r>
        <w:rPr>
          <w:rFonts w:ascii="Verdana" w:hAnsi="Verdana"/>
          <w:sz w:val="20"/>
          <w:szCs w:val="20"/>
        </w:rPr>
        <w:t>.</w:t>
      </w:r>
      <w:r>
        <w:t xml:space="preserve"> </w:t>
      </w:r>
      <w:r>
        <w:br/>
      </w:r>
      <w:hyperlink r:id="rId8" w:history="1">
        <w:r>
          <w:rPr>
            <w:rStyle w:val="Hyperlink"/>
            <w:rFonts w:ascii="Verdana" w:hAnsi="Verdana"/>
            <w:sz w:val="15"/>
            <w:szCs w:val="15"/>
          </w:rPr>
          <w:t>http://healthycanadians.gc.ca/recall-alert-rappel-avis/hc-sc/2014/41701a-eng.php</w:t>
        </w:r>
      </w:hyperlink>
      <w:r>
        <w:t xml:space="preserve"> </w:t>
      </w:r>
      <w:r>
        <w:br/>
      </w:r>
      <w:hyperlink r:id="rId9" w:history="1">
        <w:r>
          <w:rPr>
            <w:rStyle w:val="Hyperlink"/>
            <w:rFonts w:ascii="Verdana" w:hAnsi="Verdana"/>
            <w:sz w:val="15"/>
            <w:szCs w:val="15"/>
          </w:rPr>
          <w:t>http://healthycanadians.gc.ca/recall-alert-rappel-avis/hc-sc/2014/41703a-eng.php</w:t>
        </w:r>
      </w:hyperlink>
      <w:r>
        <w:t xml:space="preserve"> </w:t>
      </w:r>
      <w:r>
        <w:br/>
      </w:r>
      <w:r>
        <w:br/>
      </w:r>
      <w:r>
        <w:rPr>
          <w:rFonts w:ascii="Verdana" w:hAnsi="Verdana"/>
          <w:b/>
          <w:bCs/>
          <w:sz w:val="20"/>
          <w:szCs w:val="20"/>
        </w:rPr>
        <w:t>Diclofenac - Update to Heart and Stroke Related Safety Information and Decrease in the Maximum Recommended Daily Dose for Tablets and Suppositories - Novartis Pharma Canada Inc. and Pfizer Canada Inc.</w:t>
      </w:r>
      <w:r>
        <w:t xml:space="preserve"> </w:t>
      </w:r>
      <w:r>
        <w:br/>
      </w:r>
      <w:r>
        <w:br/>
      </w:r>
      <w:r>
        <w:rPr>
          <w:rFonts w:ascii="Verdana" w:hAnsi="Verdana"/>
          <w:sz w:val="20"/>
          <w:szCs w:val="20"/>
        </w:rPr>
        <w:t>Diclofenac at 150 mg per day, is associated with an increased risk of serious cardiovascular adverse events. The maximum recommended daily dose of systemic diclofenac is now 100 mg per day. Diclofenac is not recommended in patients with pre-existing cardiovascular or cerebrovascular disease.</w:t>
      </w:r>
      <w:r>
        <w:t xml:space="preserve"> </w:t>
      </w:r>
    </w:p>
    <w:p w:rsidR="00E904D1" w:rsidRDefault="00E904D1" w:rsidP="00BC5CEF">
      <w:pPr>
        <w:spacing w:after="240"/>
      </w:pPr>
    </w:p>
    <w:p w:rsidR="00E904D1" w:rsidRDefault="00E904D1" w:rsidP="00BC5CEF">
      <w:pPr>
        <w:spacing w:after="240"/>
      </w:pPr>
      <w:hyperlink r:id="rId10" w:history="1">
        <w:r w:rsidRPr="00E904D1">
          <w:rPr>
            <w:rStyle w:val="Hyperlink"/>
          </w:rPr>
          <w:t>Click here</w:t>
        </w:r>
      </w:hyperlink>
      <w:bookmarkStart w:id="0" w:name="_GoBack"/>
      <w:bookmarkEnd w:id="0"/>
      <w:r>
        <w:t xml:space="preserve"> to read the Canadian Rheumatology Association bulletin</w:t>
      </w:r>
    </w:p>
    <w:sectPr w:rsidR="00E9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EF"/>
    <w:rsid w:val="003057A2"/>
    <w:rsid w:val="00BC5CEF"/>
    <w:rsid w:val="00E9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2F243-5CAE-45A2-A5F0-605ACEDE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canadians.gc.ca/recall-alert-rappel-avis/hc-sc/2014/41701a-eng.php" TargetMode="External"/><Relationship Id="rId3" Type="http://schemas.openxmlformats.org/officeDocument/2006/relationships/webSettings" Target="webSettings.xml"/><Relationship Id="rId7" Type="http://schemas.openxmlformats.org/officeDocument/2006/relationships/hyperlink" Target="http://healthycanadians.gc.ca/recall-alert-rappel-avis/hc-sc/2014/41703a-eng.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ycanadians.gc.ca/recall-alert-rappel-avis/hc-sc/2014/41701a-eng.php" TargetMode="External"/><Relationship Id="rId11" Type="http://schemas.openxmlformats.org/officeDocument/2006/relationships/fontTable" Target="fontTable.xml"/><Relationship Id="rId5" Type="http://schemas.openxmlformats.org/officeDocument/2006/relationships/image" Target="cid:_2_054ABE7C07566DB4005FEE2685257D69" TargetMode="External"/><Relationship Id="rId10" Type="http://schemas.openxmlformats.org/officeDocument/2006/relationships/hyperlink" Target="http://rheum.ca/en/the_cra/drug_updates" TargetMode="External"/><Relationship Id="rId4" Type="http://schemas.openxmlformats.org/officeDocument/2006/relationships/image" Target="media/image1.jpeg"/><Relationship Id="rId9" Type="http://schemas.openxmlformats.org/officeDocument/2006/relationships/hyperlink" Target="http://healthycanadians.gc.ca/recall-alert-rappel-avis/hc-sc/2014/41703a-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Jane C. Purvis, M.D., F.R.C.P. (C)</dc:creator>
  <cp:keywords/>
  <dc:description/>
  <cp:lastModifiedBy>Dr. Jane C. Purvis, M.D., F.R.C.P. (C)</cp:lastModifiedBy>
  <cp:revision>2</cp:revision>
  <dcterms:created xsi:type="dcterms:W3CDTF">2014-11-23T20:39:00Z</dcterms:created>
  <dcterms:modified xsi:type="dcterms:W3CDTF">2014-11-23T20:43:00Z</dcterms:modified>
</cp:coreProperties>
</file>