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AD" w:rsidRPr="006E1407" w:rsidRDefault="0080382D" w:rsidP="00C420BA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4701540" cy="923925"/>
            <wp:effectExtent l="19050" t="0" r="381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0BA" w:rsidRPr="006E1407" w:rsidRDefault="00C420BA" w:rsidP="00C420BA">
      <w:pPr>
        <w:jc w:val="center"/>
        <w:rPr>
          <w:sz w:val="24"/>
          <w:szCs w:val="24"/>
        </w:rPr>
      </w:pPr>
    </w:p>
    <w:p w:rsidR="00C420BA" w:rsidRDefault="00F55484" w:rsidP="00C42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Paper on </w:t>
      </w:r>
      <w:r w:rsidR="00C420BA" w:rsidRPr="006E1407">
        <w:rPr>
          <w:b/>
          <w:sz w:val="24"/>
          <w:szCs w:val="24"/>
        </w:rPr>
        <w:t xml:space="preserve">Subsequent Entry Biologics </w:t>
      </w:r>
      <w:r w:rsidR="00073709">
        <w:rPr>
          <w:b/>
          <w:sz w:val="24"/>
          <w:szCs w:val="24"/>
        </w:rPr>
        <w:t>in Canada</w:t>
      </w:r>
    </w:p>
    <w:p w:rsidR="00E03929" w:rsidRPr="006E1407" w:rsidRDefault="00E03929" w:rsidP="00C420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2012</w:t>
      </w:r>
    </w:p>
    <w:p w:rsidR="007E009C" w:rsidRPr="007E009C" w:rsidRDefault="004252F2" w:rsidP="007E0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B50">
        <w:rPr>
          <w:sz w:val="24"/>
          <w:szCs w:val="24"/>
        </w:rPr>
        <w:t>Patients with rheumatic diseases</w:t>
      </w:r>
      <w:r w:rsidR="007E009C">
        <w:rPr>
          <w:sz w:val="24"/>
          <w:szCs w:val="24"/>
        </w:rPr>
        <w:t xml:space="preserve"> should have access to</w:t>
      </w:r>
      <w:r w:rsidRPr="005D2B50">
        <w:rPr>
          <w:sz w:val="24"/>
          <w:szCs w:val="24"/>
        </w:rPr>
        <w:t xml:space="preserve"> safe</w:t>
      </w:r>
      <w:r w:rsidR="007E009C">
        <w:rPr>
          <w:sz w:val="24"/>
          <w:szCs w:val="24"/>
        </w:rPr>
        <w:t>, effective</w:t>
      </w:r>
      <w:r w:rsidRPr="005D2B50">
        <w:rPr>
          <w:sz w:val="24"/>
          <w:szCs w:val="24"/>
        </w:rPr>
        <w:t xml:space="preserve"> and affordable</w:t>
      </w:r>
      <w:r w:rsidR="00C420BA" w:rsidRPr="005D2B50">
        <w:rPr>
          <w:sz w:val="24"/>
          <w:szCs w:val="24"/>
        </w:rPr>
        <w:t xml:space="preserve"> drugs</w:t>
      </w:r>
      <w:r w:rsidR="00FA582F">
        <w:rPr>
          <w:sz w:val="24"/>
          <w:szCs w:val="24"/>
        </w:rPr>
        <w:t>.</w:t>
      </w:r>
    </w:p>
    <w:p w:rsidR="007E009C" w:rsidRPr="007E009C" w:rsidRDefault="007E009C" w:rsidP="007E009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E009C">
        <w:rPr>
          <w:sz w:val="24"/>
          <w:szCs w:val="24"/>
        </w:rPr>
        <w:t>The decision to use these specific drugs is a planned and shared decision between the Patient and their Physician taking into account many factors.</w:t>
      </w:r>
    </w:p>
    <w:p w:rsidR="00FA582F" w:rsidRPr="007E009C" w:rsidRDefault="00C420BA" w:rsidP="007E0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A3D">
        <w:rPr>
          <w:sz w:val="24"/>
          <w:szCs w:val="24"/>
        </w:rPr>
        <w:t>Subsequent Entry Biologics</w:t>
      </w:r>
      <w:r w:rsidR="005121D4" w:rsidRPr="00900A3D">
        <w:rPr>
          <w:sz w:val="24"/>
          <w:szCs w:val="24"/>
        </w:rPr>
        <w:t xml:space="preserve"> </w:t>
      </w:r>
      <w:r w:rsidRPr="00900A3D">
        <w:rPr>
          <w:sz w:val="24"/>
          <w:szCs w:val="24"/>
        </w:rPr>
        <w:t xml:space="preserve">are </w:t>
      </w:r>
      <w:r w:rsidR="009835FF" w:rsidRPr="00900A3D">
        <w:rPr>
          <w:sz w:val="24"/>
          <w:szCs w:val="24"/>
        </w:rPr>
        <w:t xml:space="preserve">designed to be </w:t>
      </w:r>
      <w:r w:rsidRPr="00900A3D">
        <w:rPr>
          <w:sz w:val="24"/>
          <w:szCs w:val="24"/>
        </w:rPr>
        <w:t xml:space="preserve">“sufficiently similar to the reference product </w:t>
      </w:r>
      <w:r w:rsidR="00903D8E" w:rsidRPr="00900A3D">
        <w:rPr>
          <w:sz w:val="24"/>
          <w:szCs w:val="24"/>
        </w:rPr>
        <w:t>that</w:t>
      </w:r>
      <w:r w:rsidRPr="00900A3D">
        <w:rPr>
          <w:sz w:val="24"/>
          <w:szCs w:val="24"/>
        </w:rPr>
        <w:t xml:space="preserve"> there is no </w:t>
      </w:r>
      <w:r w:rsidR="00903D8E" w:rsidRPr="00900A3D">
        <w:rPr>
          <w:sz w:val="24"/>
          <w:szCs w:val="24"/>
        </w:rPr>
        <w:t xml:space="preserve">clinically </w:t>
      </w:r>
      <w:r w:rsidRPr="00900A3D">
        <w:rPr>
          <w:sz w:val="24"/>
          <w:szCs w:val="24"/>
        </w:rPr>
        <w:t>meaningful difference between these in terms of safety, purity and efficacy</w:t>
      </w:r>
      <w:r w:rsidR="00F55484" w:rsidRPr="00900A3D">
        <w:rPr>
          <w:sz w:val="24"/>
          <w:szCs w:val="24"/>
        </w:rPr>
        <w:t>"</w:t>
      </w:r>
      <w:sdt>
        <w:sdtPr>
          <w:rPr>
            <w:sz w:val="24"/>
            <w:szCs w:val="24"/>
          </w:rPr>
          <w:id w:val="2072974"/>
          <w:citation/>
        </w:sdtPr>
        <w:sdtContent>
          <w:r w:rsidR="00036853" w:rsidRPr="00900A3D">
            <w:rPr>
              <w:sz w:val="24"/>
              <w:szCs w:val="24"/>
            </w:rPr>
            <w:fldChar w:fldCharType="begin"/>
          </w:r>
          <w:r w:rsidR="0080382D" w:rsidRPr="00900A3D">
            <w:rPr>
              <w:sz w:val="24"/>
              <w:szCs w:val="24"/>
            </w:rPr>
            <w:instrText xml:space="preserve"> CITATION Rus121 \l 4105 </w:instrText>
          </w:r>
          <w:r w:rsidR="00036853" w:rsidRPr="00900A3D">
            <w:rPr>
              <w:sz w:val="24"/>
              <w:szCs w:val="24"/>
            </w:rPr>
            <w:fldChar w:fldCharType="separate"/>
          </w:r>
          <w:r w:rsidR="0080382D" w:rsidRPr="00900A3D">
            <w:rPr>
              <w:noProof/>
              <w:sz w:val="24"/>
              <w:szCs w:val="24"/>
            </w:rPr>
            <w:t xml:space="preserve"> (Russell, 2012)</w:t>
          </w:r>
          <w:r w:rsidR="00036853" w:rsidRPr="00900A3D">
            <w:rPr>
              <w:sz w:val="24"/>
              <w:szCs w:val="24"/>
            </w:rPr>
            <w:fldChar w:fldCharType="end"/>
          </w:r>
        </w:sdtContent>
      </w:sdt>
      <w:r w:rsidR="00F55484" w:rsidRPr="00900A3D">
        <w:rPr>
          <w:sz w:val="24"/>
          <w:szCs w:val="24"/>
        </w:rPr>
        <w:t>.</w:t>
      </w:r>
    </w:p>
    <w:p w:rsidR="00B917B2" w:rsidRPr="007E009C" w:rsidRDefault="00C420BA" w:rsidP="00B917B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2B50">
        <w:rPr>
          <w:sz w:val="24"/>
          <w:szCs w:val="24"/>
        </w:rPr>
        <w:t>In order to trac</w:t>
      </w:r>
      <w:r w:rsidR="004252F2" w:rsidRPr="005D2B50">
        <w:rPr>
          <w:sz w:val="24"/>
          <w:szCs w:val="24"/>
        </w:rPr>
        <w:t>k real world effectiveness</w:t>
      </w:r>
      <w:r w:rsidRPr="005D2B50">
        <w:rPr>
          <w:sz w:val="24"/>
          <w:szCs w:val="24"/>
        </w:rPr>
        <w:t xml:space="preserve">, these drugs should have </w:t>
      </w:r>
      <w:r w:rsidR="00DC619F" w:rsidRPr="007626B8">
        <w:rPr>
          <w:color w:val="000000" w:themeColor="text1"/>
          <w:sz w:val="24"/>
          <w:szCs w:val="24"/>
        </w:rPr>
        <w:t>unique</w:t>
      </w:r>
      <w:r w:rsidRPr="005D2B50">
        <w:rPr>
          <w:sz w:val="24"/>
          <w:szCs w:val="24"/>
        </w:rPr>
        <w:t xml:space="preserve"> names</w:t>
      </w:r>
      <w:r w:rsidR="006E1407" w:rsidRPr="005D2B50">
        <w:rPr>
          <w:sz w:val="24"/>
          <w:szCs w:val="24"/>
        </w:rPr>
        <w:t xml:space="preserve"> from their reference products.</w:t>
      </w:r>
    </w:p>
    <w:p w:rsidR="006E1407" w:rsidRPr="007E009C" w:rsidRDefault="009905F0" w:rsidP="007E00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00A3D">
        <w:rPr>
          <w:sz w:val="24"/>
          <w:szCs w:val="24"/>
        </w:rPr>
        <w:t>These products should NOT</w:t>
      </w:r>
      <w:r w:rsidR="007626B8" w:rsidRPr="00900A3D">
        <w:rPr>
          <w:sz w:val="24"/>
          <w:szCs w:val="24"/>
        </w:rPr>
        <w:t xml:space="preserve"> be considered</w:t>
      </w:r>
      <w:r w:rsidR="007626B8">
        <w:rPr>
          <w:sz w:val="24"/>
          <w:szCs w:val="24"/>
        </w:rPr>
        <w:t xml:space="preserve"> for automatic interchangeability or substitution.</w:t>
      </w:r>
      <w:r w:rsidR="00073709">
        <w:rPr>
          <w:sz w:val="24"/>
          <w:szCs w:val="24"/>
        </w:rPr>
        <w:t xml:space="preserve"> See definition</w:t>
      </w:r>
      <w:r w:rsidR="00E03929">
        <w:rPr>
          <w:sz w:val="24"/>
          <w:szCs w:val="24"/>
        </w:rPr>
        <w:t>s</w:t>
      </w:r>
      <w:r w:rsidR="00073709">
        <w:rPr>
          <w:sz w:val="24"/>
          <w:szCs w:val="24"/>
        </w:rPr>
        <w:t xml:space="preserve"> below.</w:t>
      </w:r>
    </w:p>
    <w:p w:rsidR="007E009C" w:rsidRPr="007E009C" w:rsidRDefault="007E009C" w:rsidP="007E009C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E009C">
        <w:rPr>
          <w:sz w:val="24"/>
          <w:szCs w:val="24"/>
        </w:rPr>
        <w:t>To ensure the best interests of Ontarians, the ORA supports the development of a province-wide post-marketing registry for:</w:t>
      </w:r>
    </w:p>
    <w:p w:rsidR="007E009C" w:rsidRPr="007E009C" w:rsidRDefault="007E009C" w:rsidP="007E009C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7E009C">
        <w:rPr>
          <w:sz w:val="24"/>
          <w:szCs w:val="24"/>
        </w:rPr>
        <w:t xml:space="preserve"> New-entry products such as SEB’s. </w:t>
      </w:r>
    </w:p>
    <w:p w:rsidR="007E009C" w:rsidRPr="007E009C" w:rsidRDefault="007E009C" w:rsidP="007E009C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7E009C">
        <w:rPr>
          <w:sz w:val="24"/>
          <w:szCs w:val="24"/>
        </w:rPr>
        <w:t xml:space="preserve"> Any and all new innovative biologics </w:t>
      </w:r>
    </w:p>
    <w:p w:rsidR="007E009C" w:rsidRPr="007E009C" w:rsidRDefault="007E009C" w:rsidP="007E009C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7E009C">
        <w:rPr>
          <w:sz w:val="24"/>
          <w:szCs w:val="24"/>
        </w:rPr>
        <w:t xml:space="preserve"> Should be independent of the pharmaceutical industry.</w:t>
      </w:r>
    </w:p>
    <w:p w:rsidR="007E009C" w:rsidRPr="007E009C" w:rsidRDefault="00E03929" w:rsidP="007E009C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S</w:t>
      </w:r>
      <w:r w:rsidR="007E009C" w:rsidRPr="007E009C">
        <w:rPr>
          <w:sz w:val="24"/>
          <w:szCs w:val="24"/>
        </w:rPr>
        <w:t>hould be supported by stakeholders (patient groups,  industry, private payers, and governments) and run by a third party</w:t>
      </w:r>
    </w:p>
    <w:p w:rsidR="00E03929" w:rsidRPr="00E03929" w:rsidRDefault="007E009C" w:rsidP="00E03929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>Have a d</w:t>
      </w:r>
      <w:r w:rsidRPr="007E009C">
        <w:rPr>
          <w:sz w:val="24"/>
          <w:szCs w:val="24"/>
        </w:rPr>
        <w:t xml:space="preserve">efined observational period (e.g. 3-5 years). </w:t>
      </w:r>
    </w:p>
    <w:p w:rsidR="007E009C" w:rsidRPr="00E03929" w:rsidRDefault="007E009C" w:rsidP="00E03929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E03929">
        <w:rPr>
          <w:sz w:val="24"/>
          <w:szCs w:val="24"/>
        </w:rPr>
        <w:t xml:space="preserve">We recommend that the ORA’s Ontario Biologic Research Initiative (OBRI) be considered for this proposal. </w:t>
      </w:r>
    </w:p>
    <w:p w:rsidR="007E009C" w:rsidRPr="00E03929" w:rsidRDefault="007E009C" w:rsidP="00E0392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7E009C">
        <w:rPr>
          <w:sz w:val="24"/>
          <w:szCs w:val="24"/>
        </w:rPr>
        <w:t>The roles of SEBs should be evaluated in the context of long-term management of chronic rheumatic disease</w:t>
      </w:r>
      <w:r w:rsidR="00E03929">
        <w:rPr>
          <w:sz w:val="24"/>
          <w:szCs w:val="24"/>
        </w:rPr>
        <w:t xml:space="preserve">. </w:t>
      </w:r>
      <w:r w:rsidR="00E03929" w:rsidRPr="007E009C">
        <w:rPr>
          <w:sz w:val="24"/>
          <w:szCs w:val="24"/>
        </w:rPr>
        <w:t>The ORA suggests the development of a Chronic Disease Management  Model of Care to optimize patient outcomes.</w:t>
      </w:r>
    </w:p>
    <w:p w:rsidR="005121D4" w:rsidRPr="005D2B50" w:rsidRDefault="005121D4" w:rsidP="005D2B5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2B50">
        <w:rPr>
          <w:sz w:val="24"/>
          <w:szCs w:val="24"/>
        </w:rPr>
        <w:t>There should be ongoing reasses</w:t>
      </w:r>
      <w:r w:rsidR="005D2B50">
        <w:rPr>
          <w:sz w:val="24"/>
          <w:szCs w:val="24"/>
        </w:rPr>
        <w:t>sment of SEB’s. T</w:t>
      </w:r>
      <w:r w:rsidRPr="005D2B50">
        <w:rPr>
          <w:sz w:val="24"/>
          <w:szCs w:val="24"/>
        </w:rPr>
        <w:t>his position</w:t>
      </w:r>
      <w:r w:rsidR="00F55484" w:rsidRPr="005D2B50">
        <w:rPr>
          <w:sz w:val="24"/>
          <w:szCs w:val="24"/>
        </w:rPr>
        <w:t xml:space="preserve"> paper</w:t>
      </w:r>
      <w:r w:rsidRPr="005D2B50">
        <w:rPr>
          <w:sz w:val="24"/>
          <w:szCs w:val="24"/>
        </w:rPr>
        <w:t xml:space="preserve"> </w:t>
      </w:r>
      <w:r w:rsidR="005D2B50">
        <w:rPr>
          <w:sz w:val="24"/>
          <w:szCs w:val="24"/>
        </w:rPr>
        <w:t xml:space="preserve">will </w:t>
      </w:r>
      <w:r w:rsidRPr="005D2B50">
        <w:rPr>
          <w:sz w:val="24"/>
          <w:szCs w:val="24"/>
        </w:rPr>
        <w:t>be reviewed in three years</w:t>
      </w:r>
      <w:r w:rsidRPr="005D2B50">
        <w:rPr>
          <w:sz w:val="28"/>
          <w:szCs w:val="28"/>
        </w:rPr>
        <w:t xml:space="preserve">. </w:t>
      </w:r>
    </w:p>
    <w:p w:rsidR="006E1407" w:rsidRDefault="006E1407" w:rsidP="005D2B50">
      <w:pPr>
        <w:pStyle w:val="ListParagraph"/>
        <w:rPr>
          <w:sz w:val="28"/>
          <w:szCs w:val="28"/>
        </w:rPr>
      </w:pPr>
    </w:p>
    <w:p w:rsidR="006E1407" w:rsidRDefault="006E1407" w:rsidP="006E1407">
      <w:pPr>
        <w:pStyle w:val="ListParagraph"/>
        <w:rPr>
          <w:i/>
          <w:sz w:val="28"/>
          <w:szCs w:val="28"/>
          <w:u w:val="single"/>
        </w:rPr>
      </w:pPr>
      <w:r w:rsidRPr="006E1407">
        <w:rPr>
          <w:i/>
          <w:sz w:val="28"/>
          <w:szCs w:val="28"/>
          <w:u w:val="single"/>
        </w:rPr>
        <w:t>Ref</w:t>
      </w:r>
      <w:r w:rsidR="00F55484">
        <w:rPr>
          <w:i/>
          <w:sz w:val="28"/>
          <w:szCs w:val="28"/>
          <w:u w:val="single"/>
        </w:rPr>
        <w:t>e</w:t>
      </w:r>
      <w:r w:rsidRPr="006E1407">
        <w:rPr>
          <w:i/>
          <w:sz w:val="28"/>
          <w:szCs w:val="28"/>
          <w:u w:val="single"/>
        </w:rPr>
        <w:t>rences</w:t>
      </w:r>
    </w:p>
    <w:p w:rsidR="006E1407" w:rsidRDefault="006E1407" w:rsidP="00DC619F">
      <w:pPr>
        <w:pStyle w:val="ListParagraph"/>
        <w:rPr>
          <w:i/>
          <w:sz w:val="20"/>
          <w:szCs w:val="20"/>
        </w:rPr>
      </w:pPr>
      <w:r w:rsidRPr="006E1407">
        <w:rPr>
          <w:i/>
          <w:sz w:val="20"/>
          <w:szCs w:val="20"/>
        </w:rPr>
        <w:t>Tony Russell</w:t>
      </w:r>
      <w:r w:rsidR="00F55484">
        <w:rPr>
          <w:i/>
          <w:sz w:val="20"/>
          <w:szCs w:val="20"/>
        </w:rPr>
        <w:t xml:space="preserve"> et al (2012)</w:t>
      </w:r>
      <w:r w:rsidRPr="006E1407">
        <w:rPr>
          <w:i/>
          <w:sz w:val="20"/>
          <w:szCs w:val="20"/>
        </w:rPr>
        <w:t xml:space="preserve">: </w:t>
      </w:r>
      <w:r w:rsidR="00F55484">
        <w:rPr>
          <w:i/>
          <w:sz w:val="20"/>
          <w:szCs w:val="20"/>
        </w:rPr>
        <w:t>Subsequent entry biologics/</w:t>
      </w:r>
      <w:proofErr w:type="spellStart"/>
      <w:r w:rsidR="00F55484">
        <w:rPr>
          <w:i/>
          <w:sz w:val="20"/>
          <w:szCs w:val="20"/>
        </w:rPr>
        <w:t>biosimilars</w:t>
      </w:r>
      <w:proofErr w:type="spellEnd"/>
      <w:r w:rsidR="00F55484">
        <w:rPr>
          <w:i/>
          <w:sz w:val="20"/>
          <w:szCs w:val="20"/>
        </w:rPr>
        <w:t xml:space="preserve">: A viewpoint from Canada. </w:t>
      </w:r>
      <w:proofErr w:type="spellStart"/>
      <w:r w:rsidR="00F55484">
        <w:rPr>
          <w:i/>
          <w:sz w:val="20"/>
          <w:szCs w:val="20"/>
        </w:rPr>
        <w:t>Clin</w:t>
      </w:r>
      <w:proofErr w:type="spellEnd"/>
      <w:r w:rsidR="00F55484">
        <w:rPr>
          <w:i/>
          <w:sz w:val="20"/>
          <w:szCs w:val="20"/>
        </w:rPr>
        <w:t xml:space="preserve"> </w:t>
      </w:r>
      <w:proofErr w:type="spellStart"/>
      <w:r w:rsidR="00F55484">
        <w:rPr>
          <w:i/>
          <w:sz w:val="20"/>
          <w:szCs w:val="20"/>
        </w:rPr>
        <w:t>Rheumatol</w:t>
      </w:r>
      <w:proofErr w:type="spellEnd"/>
      <w:r w:rsidR="00F55484">
        <w:rPr>
          <w:i/>
          <w:sz w:val="20"/>
          <w:szCs w:val="20"/>
        </w:rPr>
        <w:t xml:space="preserve"> Published online: 26 August 2012</w:t>
      </w:r>
    </w:p>
    <w:p w:rsidR="009051E8" w:rsidRDefault="009051E8" w:rsidP="00DC619F">
      <w:pPr>
        <w:pStyle w:val="ListParagraph"/>
        <w:rPr>
          <w:i/>
          <w:sz w:val="20"/>
          <w:szCs w:val="20"/>
        </w:rPr>
      </w:pPr>
    </w:p>
    <w:p w:rsidR="009051E8" w:rsidRDefault="009051E8" w:rsidP="00DC619F">
      <w:pPr>
        <w:pStyle w:val="ListParagraph"/>
        <w:rPr>
          <w:i/>
          <w:sz w:val="20"/>
          <w:szCs w:val="20"/>
        </w:rPr>
      </w:pPr>
      <w:r>
        <w:rPr>
          <w:i/>
          <w:sz w:val="20"/>
          <w:szCs w:val="20"/>
        </w:rPr>
        <w:t>Ontario College of Pharmacists website www.</w:t>
      </w:r>
      <w:r w:rsidRPr="009051E8">
        <w:t xml:space="preserve"> </w:t>
      </w:r>
      <w:r w:rsidRPr="009051E8">
        <w:rPr>
          <w:i/>
          <w:sz w:val="20"/>
          <w:szCs w:val="20"/>
        </w:rPr>
        <w:t>http://www.ocpinfo.com</w:t>
      </w:r>
    </w:p>
    <w:p w:rsidR="00830627" w:rsidRDefault="00830627" w:rsidP="00DC619F">
      <w:pPr>
        <w:pStyle w:val="ListParagraph"/>
        <w:rPr>
          <w:i/>
          <w:sz w:val="20"/>
          <w:szCs w:val="20"/>
        </w:rPr>
      </w:pPr>
    </w:p>
    <w:p w:rsidR="007E009C" w:rsidRDefault="007E009C" w:rsidP="00DC619F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E009C" w:rsidRDefault="007E009C" w:rsidP="00DC619F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E009C" w:rsidRDefault="007E009C" w:rsidP="00DC619F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71B40" w:rsidRPr="007E009C" w:rsidRDefault="00047E80" w:rsidP="007E009C">
      <w:pPr>
        <w:pStyle w:val="ListParagrap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051E8">
        <w:rPr>
          <w:rFonts w:asciiTheme="minorHAnsi" w:hAnsiTheme="minorHAnsi" w:cstheme="minorHAnsi"/>
          <w:b/>
          <w:sz w:val="24"/>
          <w:szCs w:val="24"/>
          <w:u w:val="single"/>
        </w:rPr>
        <w:t>Defini</w:t>
      </w:r>
      <w:r w:rsidR="00A7687A">
        <w:rPr>
          <w:rFonts w:asciiTheme="minorHAnsi" w:hAnsiTheme="minorHAnsi" w:cstheme="minorHAnsi"/>
          <w:b/>
          <w:sz w:val="24"/>
          <w:szCs w:val="24"/>
          <w:u w:val="single"/>
        </w:rPr>
        <w:t>tions of Interchangeability, Therapeutic substitution and Extrapolation</w:t>
      </w:r>
    </w:p>
    <w:p w:rsidR="00D71B40" w:rsidRPr="009051E8" w:rsidRDefault="00D71B40" w:rsidP="00D71B40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val="en-US" w:eastAsia="en-CA"/>
        </w:rPr>
      </w:pPr>
    </w:p>
    <w:p w:rsidR="004E73C5" w:rsidRPr="00A7687A" w:rsidRDefault="00A7687A" w:rsidP="00A7687A">
      <w:pPr>
        <w:pStyle w:val="firstdef-e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 xml:space="preserve"> •          </w:t>
      </w:r>
      <w:r w:rsidRPr="00A7687A"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  <w:t>“Interchangeability”</w:t>
      </w: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generally refers to the requirement to “interchange” a lower cost generic version of a name brand drug (a ‘financial’ decision). </w:t>
      </w:r>
    </w:p>
    <w:p w:rsidR="004E73C5" w:rsidRPr="00A7687A" w:rsidRDefault="00A7687A" w:rsidP="00A7687A">
      <w:pPr>
        <w:pStyle w:val="firstdef-e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In Ontario, interchangeability is regulated by the provincial government through legislation (Drug Interchangeability and Dispensing Fee Act).  </w:t>
      </w:r>
    </w:p>
    <w:p w:rsidR="004E73C5" w:rsidRPr="00A7687A" w:rsidRDefault="00A7687A" w:rsidP="00A7687A">
      <w:pPr>
        <w:pStyle w:val="firstdef-e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>Under the provisions of the legislation, a pharmacist may select and dispense a lower cost interchangeable drug without contacting the prescribing physician. (reference: Ontario College of Pharmacy)</w:t>
      </w:r>
    </w:p>
    <w:p w:rsidR="004E73C5" w:rsidRPr="00A7687A" w:rsidRDefault="00A7687A" w:rsidP="00A7687A">
      <w:pPr>
        <w:pStyle w:val="firstdef-e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 xml:space="preserve">•          </w:t>
      </w:r>
      <w:r w:rsidRPr="00A7687A"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  <w:t>“Substitutability</w:t>
      </w: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 xml:space="preserve">” or “therapeutic substitution” generally refers to substituting an altogether different drug as functionally equivalent to a prescribed drug for treating the same condition (a medical decision).  </w:t>
      </w:r>
    </w:p>
    <w:p w:rsidR="004E73C5" w:rsidRPr="00A7687A" w:rsidRDefault="00A7687A" w:rsidP="00A7687A">
      <w:pPr>
        <w:pStyle w:val="firstdef-e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>Substitution of a drug in Ontario (whether it is a generic or therapeutic equivalent) requires the authorization of the prescribing physician</w:t>
      </w:r>
    </w:p>
    <w:p w:rsidR="004E73C5" w:rsidRPr="00A7687A" w:rsidRDefault="00A7687A" w:rsidP="00A7687A">
      <w:pPr>
        <w:pStyle w:val="firstdef-e"/>
        <w:numPr>
          <w:ilvl w:val="0"/>
          <w:numId w:val="6"/>
        </w:numPr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 xml:space="preserve">·         </w:t>
      </w:r>
      <w:r w:rsidRPr="00A7687A">
        <w:rPr>
          <w:rFonts w:asciiTheme="minorHAnsi" w:hAnsiTheme="minorHAnsi" w:cstheme="minorHAnsi"/>
          <w:b/>
          <w:bCs/>
          <w:i/>
          <w:sz w:val="24"/>
          <w:szCs w:val="24"/>
          <w:lang w:val="en-US"/>
        </w:rPr>
        <w:t>Extrapolation</w:t>
      </w:r>
      <w:r w:rsidRPr="00A7687A">
        <w:rPr>
          <w:rFonts w:asciiTheme="minorHAnsi" w:hAnsiTheme="minorHAnsi" w:cstheme="minorHAnsi"/>
          <w:i/>
          <w:sz w:val="24"/>
          <w:szCs w:val="24"/>
          <w:lang w:val="en-US"/>
        </w:rPr>
        <w:t xml:space="preserve"> refers to the evaluation by Health Canada of a proposal to grant additional indications held by the reference biologic drug to the SEB, in the absence of such clinical data.</w:t>
      </w:r>
    </w:p>
    <w:p w:rsidR="005F41F7" w:rsidRPr="009051E8" w:rsidRDefault="005F41F7" w:rsidP="00D71B40">
      <w:pPr>
        <w:pStyle w:val="firstdef-e"/>
        <w:rPr>
          <w:rFonts w:asciiTheme="minorHAnsi" w:hAnsiTheme="minorHAnsi" w:cstheme="minorHAnsi"/>
          <w:i/>
          <w:sz w:val="24"/>
          <w:szCs w:val="24"/>
        </w:rPr>
      </w:pPr>
    </w:p>
    <w:p w:rsidR="005F41F7" w:rsidRPr="009051E8" w:rsidRDefault="005F41F7" w:rsidP="00D71B40">
      <w:pPr>
        <w:pStyle w:val="firstdef-e"/>
        <w:rPr>
          <w:rFonts w:asciiTheme="minorHAnsi" w:hAnsiTheme="minorHAnsi" w:cstheme="minorHAnsi"/>
          <w:sz w:val="24"/>
          <w:szCs w:val="24"/>
        </w:rPr>
      </w:pPr>
      <w:r w:rsidRPr="009051E8">
        <w:rPr>
          <w:rFonts w:asciiTheme="minorHAnsi" w:hAnsiTheme="minorHAnsi" w:cstheme="minorHAnsi"/>
          <w:sz w:val="24"/>
          <w:szCs w:val="24"/>
        </w:rPr>
        <w:t>Health Canada has stated, "SEBs are not "generic" biologics and authorization of an SEB is not a declaration of pharmaceutical or therapeutic equivalence to the reference biologic drug." Health Canada "does not support automatic substitution of a SEB for its reference biologic drug."</w:t>
      </w:r>
    </w:p>
    <w:p w:rsidR="00D71B40" w:rsidRPr="009051E8" w:rsidRDefault="00D71B40" w:rsidP="00D71B40">
      <w:pPr>
        <w:pStyle w:val="ListParagraph"/>
        <w:ind w:left="0"/>
        <w:rPr>
          <w:rFonts w:asciiTheme="minorHAnsi" w:hAnsiTheme="minorHAnsi" w:cstheme="minorHAnsi"/>
          <w:i/>
          <w:sz w:val="24"/>
          <w:szCs w:val="24"/>
        </w:rPr>
      </w:pPr>
    </w:p>
    <w:sectPr w:rsidR="00D71B40" w:rsidRPr="009051E8" w:rsidSect="00C420BA">
      <w:pgSz w:w="12240" w:h="15840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1F2" w:rsidRDefault="009761F2" w:rsidP="00C420BA">
      <w:pPr>
        <w:spacing w:after="0" w:line="240" w:lineRule="auto"/>
      </w:pPr>
      <w:r>
        <w:separator/>
      </w:r>
    </w:p>
  </w:endnote>
  <w:endnote w:type="continuationSeparator" w:id="0">
    <w:p w:rsidR="009761F2" w:rsidRDefault="009761F2" w:rsidP="00C4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1F2" w:rsidRDefault="009761F2" w:rsidP="00C420BA">
      <w:pPr>
        <w:spacing w:after="0" w:line="240" w:lineRule="auto"/>
      </w:pPr>
      <w:r>
        <w:separator/>
      </w:r>
    </w:p>
  </w:footnote>
  <w:footnote w:type="continuationSeparator" w:id="0">
    <w:p w:rsidR="009761F2" w:rsidRDefault="009761F2" w:rsidP="00C42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03C"/>
    <w:multiLevelType w:val="hybridMultilevel"/>
    <w:tmpl w:val="CF8EF98E"/>
    <w:lvl w:ilvl="0" w:tplc="3EB4F2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EC1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00EE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6CAB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2F9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085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09D2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E6D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06D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A5248"/>
    <w:multiLevelType w:val="hybridMultilevel"/>
    <w:tmpl w:val="45EA9DF0"/>
    <w:lvl w:ilvl="0" w:tplc="889430C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C232E">
      <w:numFmt w:val="none"/>
      <w:lvlText w:val=""/>
      <w:lvlJc w:val="left"/>
      <w:pPr>
        <w:tabs>
          <w:tab w:val="num" w:pos="360"/>
        </w:tabs>
      </w:pPr>
    </w:lvl>
    <w:lvl w:ilvl="2" w:tplc="EED63D6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C21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5238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86D40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5CA69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A2D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C2DE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B54555"/>
    <w:multiLevelType w:val="hybridMultilevel"/>
    <w:tmpl w:val="0EC4D568"/>
    <w:lvl w:ilvl="0" w:tplc="ADDA1FC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4643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A71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450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6DD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587F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3855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EC1A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CDE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984512"/>
    <w:multiLevelType w:val="hybridMultilevel"/>
    <w:tmpl w:val="080AC5BA"/>
    <w:lvl w:ilvl="0" w:tplc="E7F426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60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EC9B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2BE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E7E6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1465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A4C5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CA94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470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FD64C6"/>
    <w:multiLevelType w:val="hybridMultilevel"/>
    <w:tmpl w:val="A9EA26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A4798"/>
    <w:multiLevelType w:val="hybridMultilevel"/>
    <w:tmpl w:val="8D8469EC"/>
    <w:lvl w:ilvl="0" w:tplc="1009000F">
      <w:start w:val="1"/>
      <w:numFmt w:val="decimal"/>
      <w:lvlText w:val="%1."/>
      <w:lvlJc w:val="left"/>
      <w:pPr>
        <w:ind w:left="786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0BA"/>
    <w:rsid w:val="00011538"/>
    <w:rsid w:val="00036853"/>
    <w:rsid w:val="00047E80"/>
    <w:rsid w:val="00073709"/>
    <w:rsid w:val="000D6F97"/>
    <w:rsid w:val="001A6EE4"/>
    <w:rsid w:val="00207212"/>
    <w:rsid w:val="00343AC3"/>
    <w:rsid w:val="003A542B"/>
    <w:rsid w:val="003B5A78"/>
    <w:rsid w:val="00400214"/>
    <w:rsid w:val="004252F2"/>
    <w:rsid w:val="00426E47"/>
    <w:rsid w:val="004B7CDC"/>
    <w:rsid w:val="004E73C5"/>
    <w:rsid w:val="005121D4"/>
    <w:rsid w:val="00532F16"/>
    <w:rsid w:val="005A21E0"/>
    <w:rsid w:val="005D2B50"/>
    <w:rsid w:val="005F41F7"/>
    <w:rsid w:val="00636DF2"/>
    <w:rsid w:val="0064586A"/>
    <w:rsid w:val="00692E16"/>
    <w:rsid w:val="006D4DBC"/>
    <w:rsid w:val="006E1407"/>
    <w:rsid w:val="007626B8"/>
    <w:rsid w:val="007C47AD"/>
    <w:rsid w:val="007E009C"/>
    <w:rsid w:val="007E427A"/>
    <w:rsid w:val="0080382D"/>
    <w:rsid w:val="00815A6A"/>
    <w:rsid w:val="00830627"/>
    <w:rsid w:val="008341CE"/>
    <w:rsid w:val="008A6758"/>
    <w:rsid w:val="008B77FA"/>
    <w:rsid w:val="008C2481"/>
    <w:rsid w:val="00900A3D"/>
    <w:rsid w:val="00903D8E"/>
    <w:rsid w:val="009051E8"/>
    <w:rsid w:val="00962FEF"/>
    <w:rsid w:val="009761F2"/>
    <w:rsid w:val="009835FF"/>
    <w:rsid w:val="009905F0"/>
    <w:rsid w:val="00A00056"/>
    <w:rsid w:val="00A7687A"/>
    <w:rsid w:val="00A82863"/>
    <w:rsid w:val="00B347D0"/>
    <w:rsid w:val="00B367A5"/>
    <w:rsid w:val="00B917B2"/>
    <w:rsid w:val="00BF3F5D"/>
    <w:rsid w:val="00C420BA"/>
    <w:rsid w:val="00CC63B2"/>
    <w:rsid w:val="00D5613A"/>
    <w:rsid w:val="00D71B40"/>
    <w:rsid w:val="00DC619F"/>
    <w:rsid w:val="00DF12C7"/>
    <w:rsid w:val="00E03929"/>
    <w:rsid w:val="00E26BEF"/>
    <w:rsid w:val="00F55484"/>
    <w:rsid w:val="00F62887"/>
    <w:rsid w:val="00FA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0BA"/>
  </w:style>
  <w:style w:type="paragraph" w:styleId="Footer">
    <w:name w:val="footer"/>
    <w:basedOn w:val="Normal"/>
    <w:link w:val="FooterChar"/>
    <w:uiPriority w:val="99"/>
    <w:semiHidden/>
    <w:unhideWhenUsed/>
    <w:rsid w:val="00C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BA"/>
  </w:style>
  <w:style w:type="paragraph" w:styleId="ListParagraph">
    <w:name w:val="List Paragraph"/>
    <w:basedOn w:val="Normal"/>
    <w:uiPriority w:val="34"/>
    <w:qFormat/>
    <w:rsid w:val="00C420BA"/>
    <w:pPr>
      <w:ind w:left="720"/>
      <w:contextualSpacing/>
    </w:pPr>
  </w:style>
  <w:style w:type="paragraph" w:styleId="NoSpacing">
    <w:name w:val="No Spacing"/>
    <w:uiPriority w:val="1"/>
    <w:qFormat/>
    <w:rsid w:val="00FA582F"/>
    <w:rPr>
      <w:sz w:val="22"/>
      <w:szCs w:val="22"/>
      <w:lang w:eastAsia="en-US"/>
    </w:rPr>
  </w:style>
  <w:style w:type="paragraph" w:customStyle="1" w:styleId="firstdef-e">
    <w:name w:val="firstdef-e"/>
    <w:basedOn w:val="Normal"/>
    <w:rsid w:val="00D71B40"/>
    <w:pPr>
      <w:snapToGrid w:val="0"/>
      <w:spacing w:after="120" w:line="240" w:lineRule="auto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71B40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7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20BA"/>
  </w:style>
  <w:style w:type="paragraph" w:styleId="Footer">
    <w:name w:val="footer"/>
    <w:basedOn w:val="Normal"/>
    <w:link w:val="FooterChar"/>
    <w:uiPriority w:val="99"/>
    <w:semiHidden/>
    <w:unhideWhenUsed/>
    <w:rsid w:val="00C42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0BA"/>
  </w:style>
  <w:style w:type="paragraph" w:styleId="ListParagraph">
    <w:name w:val="List Paragraph"/>
    <w:basedOn w:val="Normal"/>
    <w:uiPriority w:val="34"/>
    <w:qFormat/>
    <w:rsid w:val="00C420BA"/>
    <w:pPr>
      <w:ind w:left="720"/>
      <w:contextualSpacing/>
    </w:pPr>
  </w:style>
  <w:style w:type="paragraph" w:styleId="NoSpacing">
    <w:name w:val="No Spacing"/>
    <w:uiPriority w:val="1"/>
    <w:qFormat/>
    <w:rsid w:val="00FA582F"/>
    <w:rPr>
      <w:sz w:val="22"/>
      <w:szCs w:val="22"/>
      <w:lang w:eastAsia="en-US"/>
    </w:rPr>
  </w:style>
  <w:style w:type="paragraph" w:customStyle="1" w:styleId="firstdef-e">
    <w:name w:val="firstdef-e"/>
    <w:basedOn w:val="Normal"/>
    <w:rsid w:val="00D71B40"/>
    <w:pPr>
      <w:snapToGrid w:val="0"/>
      <w:spacing w:after="120" w:line="240" w:lineRule="auto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D71B40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2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3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28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6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79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0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939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170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3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7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6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59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Rus12</b:Tag>
    <b:SourceType>JournalArticle</b:SourceType>
    <b:Guid>{BCB208CE-C900-4964-8B0C-B881B28F946C}</b:Guid>
    <b:LCID>2115</b:LCID>
    <b:Author>
      <b:Author>
        <b:NameList>
          <b:Person>
            <b:Last>Russell</b:Last>
            <b:First>Anthony</b:First>
          </b:Person>
        </b:NameList>
      </b:Author>
    </b:Author>
    <b:Title>Subsequent entry biologics/biosimilars: a viewpoint from Canada</b:Title>
    <b:Year>2012</b:Year>
    <b:JournalName>Clin Rheumatol</b:JournalName>
    <b:RefOrder>2</b:RefOrder>
  </b:Source>
  <b:Source>
    <b:Tag>Rus121</b:Tag>
    <b:SourceType>JournalArticle</b:SourceType>
    <b:Guid>{DE7CDB19-D83E-4E8B-BFC3-0AC057844B63}</b:Guid>
    <b:LCID>2115</b:LCID>
    <b:Author>
      <b:Author>
        <b:NameList>
          <b:Person>
            <b:Last>Russell</b:Last>
            <b:First>Anthony</b:First>
            <b:Middle>et al</b:Middle>
          </b:Person>
        </b:NameList>
      </b:Author>
    </b:Author>
    <b:Title>Subsequent entry biologics/biosimilars: a viewpoint from Canada</b:Title>
    <b:JournalName>Clin Rheumatol</b:JournalName>
    <b:Year>2012</b:Year>
    <b:RefOrder>1</b:RefOrder>
  </b:Source>
</b:Sources>
</file>

<file path=customXml/itemProps1.xml><?xml version="1.0" encoding="utf-8"?>
<ds:datastoreItem xmlns:ds="http://schemas.openxmlformats.org/officeDocument/2006/customXml" ds:itemID="{136ED8D0-1620-40A3-8B60-BDDE5064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 Position Statements</vt:lpstr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 Position Statements</dc:title>
  <dc:creator>ORA</dc:creator>
  <cp:lastModifiedBy>jane</cp:lastModifiedBy>
  <cp:revision>2</cp:revision>
  <cp:lastPrinted>2012-11-28T13:51:00Z</cp:lastPrinted>
  <dcterms:created xsi:type="dcterms:W3CDTF">2012-12-17T13:43:00Z</dcterms:created>
  <dcterms:modified xsi:type="dcterms:W3CDTF">2012-12-17T13:43:00Z</dcterms:modified>
</cp:coreProperties>
</file>